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AF" w:rsidRPr="00D41682" w:rsidRDefault="00931BAF" w:rsidP="00473FA2">
      <w:pPr>
        <w:pStyle w:val="ac"/>
        <w:ind w:left="-993"/>
        <w:jc w:val="center"/>
        <w:rPr>
          <w:b/>
          <w:sz w:val="28"/>
          <w:szCs w:val="26"/>
        </w:rPr>
      </w:pPr>
      <w:r w:rsidRPr="00D41682">
        <w:rPr>
          <w:b/>
          <w:sz w:val="28"/>
          <w:szCs w:val="26"/>
        </w:rPr>
        <w:t>Предварительные итоги выполнения прогноза социально-экономического развития Удмуртской Республики за 201</w:t>
      </w:r>
      <w:r w:rsidR="008A4517" w:rsidRPr="00D41682">
        <w:rPr>
          <w:b/>
          <w:sz w:val="28"/>
          <w:szCs w:val="26"/>
        </w:rPr>
        <w:t>9</w:t>
      </w:r>
      <w:r w:rsidRPr="00D41682">
        <w:rPr>
          <w:b/>
          <w:sz w:val="28"/>
          <w:szCs w:val="26"/>
        </w:rPr>
        <w:t xml:space="preserve"> год</w:t>
      </w:r>
    </w:p>
    <w:p w:rsidR="00931BAF" w:rsidRPr="00D41682" w:rsidRDefault="00931BAF" w:rsidP="00931BAF">
      <w:pPr>
        <w:pStyle w:val="ac"/>
        <w:jc w:val="center"/>
        <w:rPr>
          <w:sz w:val="28"/>
          <w:szCs w:val="26"/>
        </w:rPr>
      </w:pPr>
    </w:p>
    <w:tbl>
      <w:tblPr>
        <w:tblStyle w:val="af0"/>
        <w:tblW w:w="10907" w:type="dxa"/>
        <w:tblInd w:w="-1026" w:type="dxa"/>
        <w:tblLook w:val="04A0"/>
      </w:tblPr>
      <w:tblGrid>
        <w:gridCol w:w="423"/>
        <w:gridCol w:w="4557"/>
        <w:gridCol w:w="1838"/>
        <w:gridCol w:w="1268"/>
        <w:gridCol w:w="1266"/>
        <w:gridCol w:w="1555"/>
      </w:tblGrid>
      <w:tr w:rsidR="00931BAF" w:rsidRPr="0093769C" w:rsidTr="001665DC">
        <w:tc>
          <w:tcPr>
            <w:tcW w:w="425" w:type="dxa"/>
            <w:vMerge w:val="restart"/>
            <w:vAlign w:val="center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66" w:type="dxa"/>
            <w:vMerge w:val="restart"/>
            <w:vAlign w:val="center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Показатель</w:t>
            </w:r>
          </w:p>
        </w:tc>
        <w:tc>
          <w:tcPr>
            <w:tcW w:w="1841" w:type="dxa"/>
            <w:vMerge w:val="restart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515" w:type="dxa"/>
            <w:gridSpan w:val="2"/>
            <w:vAlign w:val="center"/>
          </w:tcPr>
          <w:p w:rsidR="00931BAF" w:rsidRPr="0093769C" w:rsidRDefault="00931BAF" w:rsidP="008A45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201</w:t>
            </w:r>
            <w:r w:rsidR="008A4517" w:rsidRPr="0093769C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93769C">
              <w:rPr>
                <w:rFonts w:eastAsiaTheme="minorHAnsi"/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1460" w:type="dxa"/>
            <w:vMerge w:val="restart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% выполнения</w:t>
            </w:r>
          </w:p>
        </w:tc>
      </w:tr>
      <w:tr w:rsidR="00931BAF" w:rsidRPr="0093769C" w:rsidTr="001665DC">
        <w:tc>
          <w:tcPr>
            <w:tcW w:w="425" w:type="dxa"/>
            <w:vMerge/>
            <w:vAlign w:val="center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  <w:vMerge/>
            <w:vAlign w:val="center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841" w:type="dxa"/>
            <w:vMerge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Прогноз</w:t>
            </w:r>
            <w:r w:rsidR="00762D19" w:rsidRPr="0093769C">
              <w:rPr>
                <w:rFonts w:eastAsiaTheme="minorHAnsi"/>
                <w:sz w:val="28"/>
                <w:szCs w:val="28"/>
                <w:lang w:eastAsia="en-US"/>
              </w:rPr>
              <w:t xml:space="preserve"> (базовый вариант)</w:t>
            </w:r>
          </w:p>
        </w:tc>
        <w:tc>
          <w:tcPr>
            <w:tcW w:w="1242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Факт</w:t>
            </w:r>
          </w:p>
        </w:tc>
        <w:tc>
          <w:tcPr>
            <w:tcW w:w="1460" w:type="dxa"/>
            <w:vMerge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C81C4A" w:rsidRPr="0093769C" w:rsidTr="00C81C4A">
        <w:tc>
          <w:tcPr>
            <w:tcW w:w="425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66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Численность постоянного населения (в среднегодовом исчислении)</w:t>
            </w:r>
          </w:p>
        </w:tc>
        <w:tc>
          <w:tcPr>
            <w:tcW w:w="1841" w:type="dxa"/>
            <w:vAlign w:val="center"/>
          </w:tcPr>
          <w:p w:rsidR="00C81C4A" w:rsidRPr="0093769C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273" w:type="dxa"/>
            <w:vAlign w:val="center"/>
          </w:tcPr>
          <w:p w:rsidR="00C81C4A" w:rsidRPr="0093769C" w:rsidRDefault="00C81C4A" w:rsidP="008A45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1506,3</w:t>
            </w:r>
          </w:p>
        </w:tc>
        <w:tc>
          <w:tcPr>
            <w:tcW w:w="1242" w:type="dxa"/>
            <w:vAlign w:val="center"/>
          </w:tcPr>
          <w:p w:rsidR="00C81C4A" w:rsidRPr="0093769C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1504,2*</w:t>
            </w:r>
          </w:p>
        </w:tc>
        <w:tc>
          <w:tcPr>
            <w:tcW w:w="1460" w:type="dxa"/>
            <w:vAlign w:val="center"/>
          </w:tcPr>
          <w:p w:rsidR="00C81C4A" w:rsidRPr="0093769C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99,8</w:t>
            </w:r>
          </w:p>
        </w:tc>
      </w:tr>
      <w:tr w:rsidR="008A4517" w:rsidRPr="0093769C" w:rsidTr="008A4517">
        <w:tc>
          <w:tcPr>
            <w:tcW w:w="425" w:type="dxa"/>
            <w:vMerge w:val="restart"/>
          </w:tcPr>
          <w:p w:rsidR="008A4517" w:rsidRPr="0093769C" w:rsidRDefault="008A451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2</w:t>
            </w:r>
          </w:p>
        </w:tc>
        <w:tc>
          <w:tcPr>
            <w:tcW w:w="4666" w:type="dxa"/>
          </w:tcPr>
          <w:p w:rsidR="008A4517" w:rsidRPr="0093769C" w:rsidRDefault="008A451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Индекс потребительских цен</w:t>
            </w:r>
          </w:p>
        </w:tc>
        <w:tc>
          <w:tcPr>
            <w:tcW w:w="1841" w:type="dxa"/>
            <w:vAlign w:val="center"/>
          </w:tcPr>
          <w:p w:rsidR="008A4517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8A4517" w:rsidRPr="0093769C" w:rsidRDefault="008A4517" w:rsidP="008A45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8A4517" w:rsidRPr="0093769C" w:rsidRDefault="008A4517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8A4517" w:rsidRPr="0093769C" w:rsidRDefault="008A4517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8A4517" w:rsidRPr="0093769C" w:rsidTr="008A4517">
        <w:tc>
          <w:tcPr>
            <w:tcW w:w="425" w:type="dxa"/>
            <w:vMerge/>
          </w:tcPr>
          <w:p w:rsidR="008A4517" w:rsidRPr="0093769C" w:rsidRDefault="008A451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A4517" w:rsidRPr="0093769C" w:rsidRDefault="008A451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на конец года</w:t>
            </w:r>
          </w:p>
        </w:tc>
        <w:tc>
          <w:tcPr>
            <w:tcW w:w="1841" w:type="dxa"/>
            <w:vAlign w:val="center"/>
          </w:tcPr>
          <w:p w:rsidR="008A4517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 процентах к декабрю предыдущего года</w:t>
            </w:r>
          </w:p>
        </w:tc>
        <w:tc>
          <w:tcPr>
            <w:tcW w:w="1273" w:type="dxa"/>
            <w:vAlign w:val="center"/>
          </w:tcPr>
          <w:p w:rsidR="008A4517" w:rsidRPr="0093769C" w:rsidRDefault="008A4517" w:rsidP="008A45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104,6</w:t>
            </w:r>
          </w:p>
        </w:tc>
        <w:tc>
          <w:tcPr>
            <w:tcW w:w="1242" w:type="dxa"/>
            <w:vAlign w:val="center"/>
          </w:tcPr>
          <w:p w:rsidR="008A4517" w:rsidRPr="0093769C" w:rsidRDefault="00C469BB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102,4</w:t>
            </w:r>
          </w:p>
        </w:tc>
        <w:tc>
          <w:tcPr>
            <w:tcW w:w="1460" w:type="dxa"/>
            <w:vAlign w:val="center"/>
          </w:tcPr>
          <w:p w:rsidR="008A4517" w:rsidRPr="0093769C" w:rsidRDefault="00C469BB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2,2 п.п.</w:t>
            </w:r>
          </w:p>
        </w:tc>
      </w:tr>
      <w:tr w:rsidR="008A4517" w:rsidRPr="0093769C" w:rsidTr="008A4517">
        <w:tc>
          <w:tcPr>
            <w:tcW w:w="425" w:type="dxa"/>
            <w:vMerge/>
          </w:tcPr>
          <w:p w:rsidR="008A4517" w:rsidRPr="0093769C" w:rsidRDefault="008A451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8A4517" w:rsidRPr="0093769C" w:rsidRDefault="008A451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 среднем за год</w:t>
            </w:r>
          </w:p>
        </w:tc>
        <w:tc>
          <w:tcPr>
            <w:tcW w:w="1841" w:type="dxa"/>
            <w:vAlign w:val="center"/>
          </w:tcPr>
          <w:p w:rsidR="008A4517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8A4517" w:rsidRPr="0093769C" w:rsidRDefault="008A4517" w:rsidP="008A451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105,0</w:t>
            </w:r>
          </w:p>
        </w:tc>
        <w:tc>
          <w:tcPr>
            <w:tcW w:w="1242" w:type="dxa"/>
            <w:vAlign w:val="center"/>
          </w:tcPr>
          <w:p w:rsidR="008A4517" w:rsidRPr="0093769C" w:rsidRDefault="00C469BB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103,5</w:t>
            </w:r>
          </w:p>
        </w:tc>
        <w:tc>
          <w:tcPr>
            <w:tcW w:w="1460" w:type="dxa"/>
            <w:vAlign w:val="center"/>
          </w:tcPr>
          <w:p w:rsidR="008A4517" w:rsidRPr="0093769C" w:rsidRDefault="00C469BB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1,5 п.п.</w:t>
            </w:r>
          </w:p>
        </w:tc>
      </w:tr>
      <w:tr w:rsidR="00931BAF" w:rsidRPr="0093769C" w:rsidTr="001665DC">
        <w:tc>
          <w:tcPr>
            <w:tcW w:w="425" w:type="dxa"/>
            <w:vMerge w:val="restart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3</w:t>
            </w:r>
          </w:p>
        </w:tc>
        <w:tc>
          <w:tcPr>
            <w:tcW w:w="4666" w:type="dxa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Валовой региональный продукт</w:t>
            </w:r>
          </w:p>
        </w:tc>
        <w:tc>
          <w:tcPr>
            <w:tcW w:w="1841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1E65DB" w:rsidRPr="0093769C" w:rsidTr="001E65DB">
        <w:trPr>
          <w:trHeight w:val="70"/>
        </w:trPr>
        <w:tc>
          <w:tcPr>
            <w:tcW w:w="425" w:type="dxa"/>
            <w:vMerge/>
          </w:tcPr>
          <w:p w:rsidR="001E65DB" w:rsidRPr="0093769C" w:rsidRDefault="001E65DB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1E65DB" w:rsidRPr="0093769C" w:rsidRDefault="001E65DB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номинальный объем</w:t>
            </w:r>
          </w:p>
        </w:tc>
        <w:tc>
          <w:tcPr>
            <w:tcW w:w="1841" w:type="dxa"/>
            <w:vAlign w:val="center"/>
          </w:tcPr>
          <w:p w:rsidR="001E65DB" w:rsidRPr="0093769C" w:rsidRDefault="001E65DB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1E65DB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641847</w:t>
            </w:r>
          </w:p>
        </w:tc>
        <w:tc>
          <w:tcPr>
            <w:tcW w:w="1242" w:type="dxa"/>
            <w:vAlign w:val="center"/>
          </w:tcPr>
          <w:p w:rsidR="001E65DB" w:rsidRPr="0093769C" w:rsidRDefault="00213BAA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646377**</w:t>
            </w:r>
          </w:p>
        </w:tc>
        <w:tc>
          <w:tcPr>
            <w:tcW w:w="1460" w:type="dxa"/>
            <w:vAlign w:val="center"/>
          </w:tcPr>
          <w:p w:rsidR="001E65DB" w:rsidRPr="0093769C" w:rsidRDefault="00213BAA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100,7</w:t>
            </w:r>
          </w:p>
        </w:tc>
      </w:tr>
      <w:tr w:rsidR="001E65DB" w:rsidRPr="0093769C" w:rsidTr="001E65DB">
        <w:tc>
          <w:tcPr>
            <w:tcW w:w="425" w:type="dxa"/>
            <w:vMerge/>
          </w:tcPr>
          <w:p w:rsidR="001E65DB" w:rsidRPr="0093769C" w:rsidRDefault="001E65DB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1E65DB" w:rsidRPr="0093769C" w:rsidRDefault="001E65DB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темп роста в сопоставимых ценах</w:t>
            </w:r>
          </w:p>
        </w:tc>
        <w:tc>
          <w:tcPr>
            <w:tcW w:w="1841" w:type="dxa"/>
            <w:vAlign w:val="center"/>
          </w:tcPr>
          <w:p w:rsidR="001E65DB" w:rsidRPr="0093769C" w:rsidRDefault="001E65DB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1E65DB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42" w:type="dxa"/>
            <w:vAlign w:val="center"/>
          </w:tcPr>
          <w:p w:rsidR="001E65DB" w:rsidRPr="0093769C" w:rsidRDefault="00213BAA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101,2</w:t>
            </w:r>
          </w:p>
        </w:tc>
        <w:tc>
          <w:tcPr>
            <w:tcW w:w="1460" w:type="dxa"/>
            <w:vAlign w:val="center"/>
          </w:tcPr>
          <w:p w:rsidR="001E65DB" w:rsidRPr="0093769C" w:rsidRDefault="00213BAA" w:rsidP="001E65D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1,2 п.п.</w:t>
            </w:r>
          </w:p>
        </w:tc>
      </w:tr>
      <w:tr w:rsidR="00931BAF" w:rsidRPr="0093769C" w:rsidTr="001665DC">
        <w:tc>
          <w:tcPr>
            <w:tcW w:w="425" w:type="dxa"/>
            <w:vMerge w:val="restart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4</w:t>
            </w:r>
          </w:p>
        </w:tc>
        <w:tc>
          <w:tcPr>
            <w:tcW w:w="4666" w:type="dxa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Объем отгруженной продукции (работ, услуг)</w:t>
            </w:r>
          </w:p>
        </w:tc>
        <w:tc>
          <w:tcPr>
            <w:tcW w:w="1841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3E76D7" w:rsidRPr="0093769C" w:rsidTr="00E77A5A">
        <w:tc>
          <w:tcPr>
            <w:tcW w:w="425" w:type="dxa"/>
            <w:vMerge/>
          </w:tcPr>
          <w:p w:rsidR="003E76D7" w:rsidRPr="0093769C" w:rsidRDefault="003E76D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3E76D7" w:rsidRPr="0093769C" w:rsidRDefault="003E76D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номинальный объем</w:t>
            </w:r>
          </w:p>
        </w:tc>
        <w:tc>
          <w:tcPr>
            <w:tcW w:w="1841" w:type="dxa"/>
            <w:vAlign w:val="center"/>
          </w:tcPr>
          <w:p w:rsidR="003E76D7" w:rsidRPr="0093769C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3E76D7" w:rsidRPr="0093769C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604236</w:t>
            </w:r>
          </w:p>
        </w:tc>
        <w:tc>
          <w:tcPr>
            <w:tcW w:w="1242" w:type="dxa"/>
            <w:vAlign w:val="center"/>
          </w:tcPr>
          <w:p w:rsidR="003E76D7" w:rsidRPr="0093769C" w:rsidRDefault="003E76D7" w:rsidP="00EC3A6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680 340</w:t>
            </w:r>
          </w:p>
        </w:tc>
        <w:tc>
          <w:tcPr>
            <w:tcW w:w="1460" w:type="dxa"/>
            <w:vAlign w:val="center"/>
          </w:tcPr>
          <w:p w:rsidR="003E76D7" w:rsidRPr="0093769C" w:rsidRDefault="003E76D7" w:rsidP="005C251C">
            <w:pPr>
              <w:pStyle w:val="ac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112,6</w:t>
            </w:r>
          </w:p>
        </w:tc>
      </w:tr>
      <w:tr w:rsidR="003E76D7" w:rsidRPr="0093769C" w:rsidTr="00E77A5A">
        <w:tc>
          <w:tcPr>
            <w:tcW w:w="425" w:type="dxa"/>
            <w:vMerge/>
          </w:tcPr>
          <w:p w:rsidR="003E76D7" w:rsidRPr="0093769C" w:rsidRDefault="003E76D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3E76D7" w:rsidRPr="0093769C" w:rsidRDefault="003E76D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индекс промышленного производства</w:t>
            </w:r>
          </w:p>
        </w:tc>
        <w:tc>
          <w:tcPr>
            <w:tcW w:w="1841" w:type="dxa"/>
            <w:vAlign w:val="center"/>
          </w:tcPr>
          <w:p w:rsidR="003E76D7" w:rsidRPr="0093769C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3E76D7" w:rsidRPr="0093769C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95,3</w:t>
            </w:r>
          </w:p>
        </w:tc>
        <w:tc>
          <w:tcPr>
            <w:tcW w:w="1242" w:type="dxa"/>
            <w:vAlign w:val="center"/>
          </w:tcPr>
          <w:p w:rsidR="003E76D7" w:rsidRPr="0093769C" w:rsidRDefault="006F07B6" w:rsidP="00EC3A6A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102,0</w:t>
            </w:r>
          </w:p>
        </w:tc>
        <w:tc>
          <w:tcPr>
            <w:tcW w:w="1460" w:type="dxa"/>
            <w:vAlign w:val="center"/>
          </w:tcPr>
          <w:p w:rsidR="003E76D7" w:rsidRPr="0093769C" w:rsidRDefault="009A6AFA" w:rsidP="005C251C">
            <w:pPr>
              <w:pStyle w:val="ac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6,7</w:t>
            </w:r>
            <w:r w:rsidR="003E76D7" w:rsidRPr="0093769C">
              <w:rPr>
                <w:rFonts w:eastAsiaTheme="minorHAnsi"/>
                <w:sz w:val="28"/>
                <w:szCs w:val="28"/>
                <w:lang w:eastAsia="en-US"/>
              </w:rPr>
              <w:t xml:space="preserve"> п.п.</w:t>
            </w:r>
          </w:p>
        </w:tc>
      </w:tr>
      <w:tr w:rsidR="00931BAF" w:rsidRPr="0093769C" w:rsidTr="001665DC">
        <w:tc>
          <w:tcPr>
            <w:tcW w:w="425" w:type="dxa"/>
            <w:vMerge w:val="restart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5</w:t>
            </w:r>
          </w:p>
        </w:tc>
        <w:tc>
          <w:tcPr>
            <w:tcW w:w="4666" w:type="dxa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Продукция сельского хозяйства</w:t>
            </w:r>
          </w:p>
        </w:tc>
        <w:tc>
          <w:tcPr>
            <w:tcW w:w="1841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931BAF" w:rsidRPr="0093769C" w:rsidTr="001665DC">
        <w:tc>
          <w:tcPr>
            <w:tcW w:w="425" w:type="dxa"/>
            <w:vMerge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номинальный объем</w:t>
            </w:r>
          </w:p>
        </w:tc>
        <w:tc>
          <w:tcPr>
            <w:tcW w:w="1841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931BAF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67820</w:t>
            </w:r>
          </w:p>
        </w:tc>
        <w:tc>
          <w:tcPr>
            <w:tcW w:w="1242" w:type="dxa"/>
            <w:vAlign w:val="center"/>
          </w:tcPr>
          <w:p w:rsidR="00931BAF" w:rsidRPr="0093769C" w:rsidRDefault="00590A6C" w:rsidP="00590A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 xml:space="preserve"> 67 723</w:t>
            </w:r>
          </w:p>
        </w:tc>
        <w:tc>
          <w:tcPr>
            <w:tcW w:w="1460" w:type="dxa"/>
            <w:vAlign w:val="center"/>
          </w:tcPr>
          <w:p w:rsidR="00931BAF" w:rsidRPr="0093769C" w:rsidRDefault="00590A6C" w:rsidP="00590A6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99,9</w:t>
            </w:r>
          </w:p>
        </w:tc>
      </w:tr>
      <w:tr w:rsidR="00931BAF" w:rsidRPr="0093769C" w:rsidTr="001665DC">
        <w:tc>
          <w:tcPr>
            <w:tcW w:w="425" w:type="dxa"/>
            <w:vMerge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темп роста в сопоставимых ценах</w:t>
            </w:r>
          </w:p>
        </w:tc>
        <w:tc>
          <w:tcPr>
            <w:tcW w:w="1841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931BAF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100,8</w:t>
            </w:r>
          </w:p>
        </w:tc>
        <w:tc>
          <w:tcPr>
            <w:tcW w:w="1242" w:type="dxa"/>
            <w:vAlign w:val="center"/>
          </w:tcPr>
          <w:p w:rsidR="00931BAF" w:rsidRPr="0093769C" w:rsidRDefault="00590A6C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100,9</w:t>
            </w:r>
          </w:p>
        </w:tc>
        <w:tc>
          <w:tcPr>
            <w:tcW w:w="1460" w:type="dxa"/>
            <w:vAlign w:val="center"/>
          </w:tcPr>
          <w:p w:rsidR="00931BAF" w:rsidRPr="0093769C" w:rsidRDefault="00590A6C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0,1 п.п.</w:t>
            </w:r>
          </w:p>
        </w:tc>
      </w:tr>
      <w:tr w:rsidR="00931BAF" w:rsidRPr="0093769C" w:rsidTr="001665DC">
        <w:tc>
          <w:tcPr>
            <w:tcW w:w="425" w:type="dxa"/>
            <w:vMerge w:val="restart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6</w:t>
            </w:r>
          </w:p>
        </w:tc>
        <w:tc>
          <w:tcPr>
            <w:tcW w:w="4666" w:type="dxa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Инвестиции в основной капитал</w:t>
            </w:r>
          </w:p>
        </w:tc>
        <w:tc>
          <w:tcPr>
            <w:tcW w:w="1841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473FA2" w:rsidRPr="0093769C" w:rsidTr="001665DC">
        <w:tc>
          <w:tcPr>
            <w:tcW w:w="425" w:type="dxa"/>
            <w:vMerge/>
          </w:tcPr>
          <w:p w:rsidR="00473FA2" w:rsidRPr="0093769C" w:rsidRDefault="00473FA2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473FA2" w:rsidRPr="0093769C" w:rsidRDefault="00473FA2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номинальный объем</w:t>
            </w:r>
          </w:p>
        </w:tc>
        <w:tc>
          <w:tcPr>
            <w:tcW w:w="1841" w:type="dxa"/>
            <w:vAlign w:val="center"/>
          </w:tcPr>
          <w:p w:rsidR="00473FA2" w:rsidRPr="0093769C" w:rsidRDefault="00473FA2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473FA2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84526</w:t>
            </w:r>
          </w:p>
        </w:tc>
        <w:tc>
          <w:tcPr>
            <w:tcW w:w="1242" w:type="dxa"/>
            <w:vAlign w:val="center"/>
          </w:tcPr>
          <w:p w:rsidR="00473FA2" w:rsidRPr="0093769C" w:rsidRDefault="00924063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100516</w:t>
            </w:r>
          </w:p>
        </w:tc>
        <w:tc>
          <w:tcPr>
            <w:tcW w:w="1460" w:type="dxa"/>
            <w:vAlign w:val="center"/>
          </w:tcPr>
          <w:p w:rsidR="00473FA2" w:rsidRPr="0093769C" w:rsidRDefault="00924063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118,9</w:t>
            </w:r>
          </w:p>
        </w:tc>
      </w:tr>
      <w:tr w:rsidR="00473FA2" w:rsidRPr="0093769C" w:rsidTr="001665DC">
        <w:tc>
          <w:tcPr>
            <w:tcW w:w="425" w:type="dxa"/>
            <w:vMerge/>
          </w:tcPr>
          <w:p w:rsidR="00473FA2" w:rsidRPr="0093769C" w:rsidRDefault="00473FA2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473FA2" w:rsidRPr="0093769C" w:rsidRDefault="00473FA2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темп роста в сопоставимых ценах</w:t>
            </w:r>
          </w:p>
        </w:tc>
        <w:tc>
          <w:tcPr>
            <w:tcW w:w="1841" w:type="dxa"/>
            <w:vAlign w:val="center"/>
          </w:tcPr>
          <w:p w:rsidR="00473FA2" w:rsidRPr="0093769C" w:rsidRDefault="00473FA2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473FA2" w:rsidRPr="0093769C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100,6</w:t>
            </w:r>
          </w:p>
        </w:tc>
        <w:tc>
          <w:tcPr>
            <w:tcW w:w="1242" w:type="dxa"/>
            <w:vAlign w:val="center"/>
          </w:tcPr>
          <w:p w:rsidR="00473FA2" w:rsidRPr="0093769C" w:rsidRDefault="00924063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97,8</w:t>
            </w:r>
          </w:p>
        </w:tc>
        <w:tc>
          <w:tcPr>
            <w:tcW w:w="1460" w:type="dxa"/>
            <w:vAlign w:val="center"/>
          </w:tcPr>
          <w:p w:rsidR="00473FA2" w:rsidRPr="0093769C" w:rsidRDefault="00EE190E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-2,8 п.п.</w:t>
            </w:r>
          </w:p>
        </w:tc>
      </w:tr>
      <w:tr w:rsidR="00931BAF" w:rsidRPr="0093769C" w:rsidTr="001665DC">
        <w:tc>
          <w:tcPr>
            <w:tcW w:w="425" w:type="dxa"/>
            <w:vMerge w:val="restart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7</w:t>
            </w:r>
          </w:p>
        </w:tc>
        <w:tc>
          <w:tcPr>
            <w:tcW w:w="4666" w:type="dxa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 xml:space="preserve">Объем работ, выполненных по виду экономической деятельности </w:t>
            </w:r>
            <w:r w:rsidR="005C251C" w:rsidRPr="0093769C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Строительство</w:t>
            </w:r>
            <w:r w:rsidR="005C251C" w:rsidRPr="0093769C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41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931BAF" w:rsidRPr="0093769C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31BAF" w:rsidRPr="0093769C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E143FB" w:rsidRPr="00EC3A6A" w:rsidTr="001665DC">
        <w:tc>
          <w:tcPr>
            <w:tcW w:w="425" w:type="dxa"/>
            <w:vMerge/>
          </w:tcPr>
          <w:p w:rsidR="00E143FB" w:rsidRPr="0093769C" w:rsidRDefault="00E143FB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E143FB" w:rsidRPr="00EC3A6A" w:rsidRDefault="00E143FB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номинальный объем</w:t>
            </w:r>
          </w:p>
        </w:tc>
        <w:tc>
          <w:tcPr>
            <w:tcW w:w="1841" w:type="dxa"/>
            <w:vAlign w:val="center"/>
          </w:tcPr>
          <w:p w:rsidR="00E143FB" w:rsidRPr="00EC3A6A" w:rsidRDefault="00E143FB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E143FB" w:rsidRPr="00EC3A6A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37529</w:t>
            </w:r>
          </w:p>
        </w:tc>
        <w:tc>
          <w:tcPr>
            <w:tcW w:w="1242" w:type="dxa"/>
            <w:vAlign w:val="center"/>
          </w:tcPr>
          <w:p w:rsidR="00E143FB" w:rsidRPr="00EC3A6A" w:rsidRDefault="00556219" w:rsidP="000C1D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38436</w:t>
            </w:r>
          </w:p>
        </w:tc>
        <w:tc>
          <w:tcPr>
            <w:tcW w:w="1460" w:type="dxa"/>
            <w:vAlign w:val="center"/>
          </w:tcPr>
          <w:p w:rsidR="00E143FB" w:rsidRPr="00EC3A6A" w:rsidRDefault="00556219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102,4</w:t>
            </w:r>
          </w:p>
        </w:tc>
      </w:tr>
      <w:tr w:rsidR="00E143FB" w:rsidRPr="00EC3A6A" w:rsidTr="001665DC">
        <w:tc>
          <w:tcPr>
            <w:tcW w:w="425" w:type="dxa"/>
            <w:vMerge/>
          </w:tcPr>
          <w:p w:rsidR="00E143FB" w:rsidRPr="0093769C" w:rsidRDefault="00E143FB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E143FB" w:rsidRPr="00EC3A6A" w:rsidRDefault="00E143FB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темп роста в сопоставимых ценах</w:t>
            </w:r>
          </w:p>
        </w:tc>
        <w:tc>
          <w:tcPr>
            <w:tcW w:w="1841" w:type="dxa"/>
            <w:vAlign w:val="center"/>
          </w:tcPr>
          <w:p w:rsidR="00E143FB" w:rsidRPr="00EC3A6A" w:rsidRDefault="00E143FB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E143FB" w:rsidRPr="00EC3A6A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1242" w:type="dxa"/>
            <w:vAlign w:val="center"/>
          </w:tcPr>
          <w:p w:rsidR="00E143FB" w:rsidRPr="00EC3A6A" w:rsidRDefault="00556219" w:rsidP="000C1D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88,4</w:t>
            </w:r>
          </w:p>
        </w:tc>
        <w:tc>
          <w:tcPr>
            <w:tcW w:w="1460" w:type="dxa"/>
            <w:vAlign w:val="center"/>
          </w:tcPr>
          <w:p w:rsidR="00E143FB" w:rsidRPr="00EC3A6A" w:rsidRDefault="000C1DEF" w:rsidP="00556219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 xml:space="preserve">- </w:t>
            </w:r>
            <w:r w:rsidR="00556219" w:rsidRPr="00EC3A6A">
              <w:rPr>
                <w:sz w:val="28"/>
                <w:szCs w:val="28"/>
              </w:rPr>
              <w:t>11,6</w:t>
            </w:r>
            <w:r w:rsidRPr="00EC3A6A">
              <w:rPr>
                <w:sz w:val="28"/>
                <w:szCs w:val="28"/>
              </w:rPr>
              <w:t xml:space="preserve"> п.п.</w:t>
            </w:r>
          </w:p>
        </w:tc>
      </w:tr>
      <w:tr w:rsidR="00E143FB" w:rsidRPr="00EC3A6A" w:rsidTr="001665DC">
        <w:tc>
          <w:tcPr>
            <w:tcW w:w="425" w:type="dxa"/>
            <w:vMerge w:val="restart"/>
          </w:tcPr>
          <w:p w:rsidR="00E143FB" w:rsidRPr="0093769C" w:rsidRDefault="00E143FB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666" w:type="dxa"/>
          </w:tcPr>
          <w:p w:rsidR="00E143FB" w:rsidRPr="00EC3A6A" w:rsidRDefault="00E143FB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Ввод в действие жилых домов</w:t>
            </w:r>
          </w:p>
        </w:tc>
        <w:tc>
          <w:tcPr>
            <w:tcW w:w="1841" w:type="dxa"/>
            <w:vAlign w:val="center"/>
          </w:tcPr>
          <w:p w:rsidR="00E143FB" w:rsidRPr="00EC3A6A" w:rsidRDefault="00E143FB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тыс. кв. м общей площади</w:t>
            </w:r>
          </w:p>
        </w:tc>
        <w:tc>
          <w:tcPr>
            <w:tcW w:w="1273" w:type="dxa"/>
            <w:vAlign w:val="center"/>
          </w:tcPr>
          <w:p w:rsidR="00E143FB" w:rsidRPr="00EC3A6A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660</w:t>
            </w:r>
          </w:p>
        </w:tc>
        <w:tc>
          <w:tcPr>
            <w:tcW w:w="1242" w:type="dxa"/>
            <w:vAlign w:val="center"/>
          </w:tcPr>
          <w:p w:rsidR="00E143FB" w:rsidRPr="00EC3A6A" w:rsidRDefault="000C1DEF" w:rsidP="00E143FB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759,9</w:t>
            </w:r>
          </w:p>
        </w:tc>
        <w:tc>
          <w:tcPr>
            <w:tcW w:w="1460" w:type="dxa"/>
            <w:vAlign w:val="center"/>
          </w:tcPr>
          <w:p w:rsidR="00E143FB" w:rsidRPr="00EC3A6A" w:rsidRDefault="000C1DE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115,1</w:t>
            </w:r>
          </w:p>
        </w:tc>
      </w:tr>
      <w:tr w:rsidR="00E143FB" w:rsidRPr="00EC3A6A" w:rsidTr="001665DC">
        <w:tc>
          <w:tcPr>
            <w:tcW w:w="425" w:type="dxa"/>
            <w:vMerge/>
          </w:tcPr>
          <w:p w:rsidR="00E143FB" w:rsidRPr="0093769C" w:rsidRDefault="00E143FB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E143FB" w:rsidRPr="00EC3A6A" w:rsidRDefault="00E143FB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темп роста</w:t>
            </w:r>
          </w:p>
        </w:tc>
        <w:tc>
          <w:tcPr>
            <w:tcW w:w="1841" w:type="dxa"/>
            <w:vAlign w:val="center"/>
          </w:tcPr>
          <w:p w:rsidR="00E143FB" w:rsidRPr="00EC3A6A" w:rsidRDefault="00E143FB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E143FB" w:rsidRPr="00EC3A6A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100,2</w:t>
            </w:r>
          </w:p>
        </w:tc>
        <w:tc>
          <w:tcPr>
            <w:tcW w:w="1242" w:type="dxa"/>
            <w:vAlign w:val="center"/>
          </w:tcPr>
          <w:p w:rsidR="00E143FB" w:rsidRPr="00EC3A6A" w:rsidRDefault="000C1DEF" w:rsidP="001A0BB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</w:t>
            </w:r>
            <w:r w:rsidR="001A0BBC" w:rsidRPr="00EC3A6A">
              <w:rPr>
                <w:sz w:val="28"/>
                <w:szCs w:val="28"/>
              </w:rPr>
              <w:t>4,4</w:t>
            </w:r>
          </w:p>
        </w:tc>
        <w:tc>
          <w:tcPr>
            <w:tcW w:w="1460" w:type="dxa"/>
            <w:vAlign w:val="center"/>
          </w:tcPr>
          <w:p w:rsidR="00E143FB" w:rsidRPr="00EC3A6A" w:rsidRDefault="000C1DEF" w:rsidP="002B373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5,7 п.п.</w:t>
            </w:r>
          </w:p>
        </w:tc>
      </w:tr>
      <w:tr w:rsidR="00931BAF" w:rsidRPr="00EC3A6A" w:rsidTr="001665DC">
        <w:tc>
          <w:tcPr>
            <w:tcW w:w="425" w:type="dxa"/>
            <w:vMerge w:val="restart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9</w:t>
            </w:r>
          </w:p>
        </w:tc>
        <w:tc>
          <w:tcPr>
            <w:tcW w:w="4666" w:type="dxa"/>
          </w:tcPr>
          <w:p w:rsidR="00931BAF" w:rsidRPr="00EC3A6A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Объем розничного товарооборота</w:t>
            </w:r>
          </w:p>
        </w:tc>
        <w:tc>
          <w:tcPr>
            <w:tcW w:w="1841" w:type="dxa"/>
            <w:vAlign w:val="center"/>
          </w:tcPr>
          <w:p w:rsidR="00931BAF" w:rsidRPr="00EC3A6A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931BAF" w:rsidRPr="00EC3A6A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931BAF" w:rsidRPr="00EC3A6A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31BAF" w:rsidRPr="00EC3A6A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3E76D7" w:rsidRPr="00EC3A6A" w:rsidTr="003E76D7">
        <w:tc>
          <w:tcPr>
            <w:tcW w:w="425" w:type="dxa"/>
            <w:vMerge/>
          </w:tcPr>
          <w:p w:rsidR="003E76D7" w:rsidRPr="0093769C" w:rsidRDefault="003E76D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3E76D7" w:rsidRPr="00EC3A6A" w:rsidRDefault="003E76D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номинальный объем</w:t>
            </w:r>
          </w:p>
        </w:tc>
        <w:tc>
          <w:tcPr>
            <w:tcW w:w="1841" w:type="dxa"/>
            <w:vAlign w:val="center"/>
          </w:tcPr>
          <w:p w:rsidR="003E76D7" w:rsidRPr="00EC3A6A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3E76D7" w:rsidRPr="00EC3A6A" w:rsidRDefault="003E76D7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254550</w:t>
            </w:r>
          </w:p>
        </w:tc>
        <w:tc>
          <w:tcPr>
            <w:tcW w:w="1242" w:type="dxa"/>
            <w:vAlign w:val="center"/>
          </w:tcPr>
          <w:p w:rsidR="003E76D7" w:rsidRPr="00EC3A6A" w:rsidRDefault="003E76D7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256228</w:t>
            </w:r>
          </w:p>
        </w:tc>
        <w:tc>
          <w:tcPr>
            <w:tcW w:w="1460" w:type="dxa"/>
            <w:vAlign w:val="center"/>
          </w:tcPr>
          <w:p w:rsidR="003E76D7" w:rsidRPr="00EC3A6A" w:rsidRDefault="003E76D7" w:rsidP="003E76D7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100,6</w:t>
            </w:r>
          </w:p>
        </w:tc>
      </w:tr>
      <w:tr w:rsidR="003E76D7" w:rsidRPr="00EC3A6A" w:rsidTr="003E76D7">
        <w:tc>
          <w:tcPr>
            <w:tcW w:w="425" w:type="dxa"/>
            <w:vMerge/>
          </w:tcPr>
          <w:p w:rsidR="003E76D7" w:rsidRPr="0093769C" w:rsidRDefault="003E76D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3E76D7" w:rsidRPr="00EC3A6A" w:rsidRDefault="003E76D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темп роста в сопоставимых ценах</w:t>
            </w:r>
          </w:p>
        </w:tc>
        <w:tc>
          <w:tcPr>
            <w:tcW w:w="1841" w:type="dxa"/>
            <w:vAlign w:val="center"/>
          </w:tcPr>
          <w:p w:rsidR="003E76D7" w:rsidRPr="00EC3A6A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3E76D7" w:rsidRPr="00EC3A6A" w:rsidRDefault="003E76D7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101,5</w:t>
            </w:r>
          </w:p>
        </w:tc>
        <w:tc>
          <w:tcPr>
            <w:tcW w:w="1242" w:type="dxa"/>
            <w:vAlign w:val="center"/>
          </w:tcPr>
          <w:p w:rsidR="003E76D7" w:rsidRPr="00EC3A6A" w:rsidRDefault="003E76D7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100,6</w:t>
            </w:r>
          </w:p>
        </w:tc>
        <w:tc>
          <w:tcPr>
            <w:tcW w:w="1460" w:type="dxa"/>
            <w:vAlign w:val="center"/>
          </w:tcPr>
          <w:p w:rsidR="003E76D7" w:rsidRPr="00EC3A6A" w:rsidRDefault="003E76D7" w:rsidP="003E76D7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- 0,9 п.п.</w:t>
            </w:r>
          </w:p>
        </w:tc>
      </w:tr>
      <w:tr w:rsidR="00931BAF" w:rsidRPr="00EC3A6A" w:rsidTr="001665DC">
        <w:tc>
          <w:tcPr>
            <w:tcW w:w="425" w:type="dxa"/>
            <w:vMerge w:val="restart"/>
          </w:tcPr>
          <w:p w:rsidR="00931BAF" w:rsidRPr="0093769C" w:rsidRDefault="00931BAF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10</w:t>
            </w:r>
          </w:p>
        </w:tc>
        <w:tc>
          <w:tcPr>
            <w:tcW w:w="4666" w:type="dxa"/>
          </w:tcPr>
          <w:p w:rsidR="00931BAF" w:rsidRPr="00EC3A6A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Объем платных услуг населению</w:t>
            </w:r>
          </w:p>
        </w:tc>
        <w:tc>
          <w:tcPr>
            <w:tcW w:w="1841" w:type="dxa"/>
            <w:vAlign w:val="center"/>
          </w:tcPr>
          <w:p w:rsidR="00931BAF" w:rsidRPr="00EC3A6A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73" w:type="dxa"/>
            <w:vAlign w:val="center"/>
          </w:tcPr>
          <w:p w:rsidR="00931BAF" w:rsidRPr="00EC3A6A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242" w:type="dxa"/>
            <w:vAlign w:val="center"/>
          </w:tcPr>
          <w:p w:rsidR="00931BAF" w:rsidRPr="00EC3A6A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460" w:type="dxa"/>
            <w:vAlign w:val="center"/>
          </w:tcPr>
          <w:p w:rsidR="00931BAF" w:rsidRPr="00EC3A6A" w:rsidRDefault="00931BAF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</w:tr>
      <w:tr w:rsidR="003E76D7" w:rsidRPr="00EC3A6A" w:rsidTr="003E76D7">
        <w:tc>
          <w:tcPr>
            <w:tcW w:w="425" w:type="dxa"/>
            <w:vMerge/>
          </w:tcPr>
          <w:p w:rsidR="003E76D7" w:rsidRPr="0093769C" w:rsidRDefault="003E76D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3E76D7" w:rsidRPr="00EC3A6A" w:rsidRDefault="003E76D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номинальный объем</w:t>
            </w:r>
          </w:p>
        </w:tc>
        <w:tc>
          <w:tcPr>
            <w:tcW w:w="1841" w:type="dxa"/>
            <w:vAlign w:val="center"/>
          </w:tcPr>
          <w:p w:rsidR="003E76D7" w:rsidRPr="00EC3A6A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3E76D7" w:rsidRPr="00EC3A6A" w:rsidRDefault="003E76D7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69064</w:t>
            </w:r>
          </w:p>
        </w:tc>
        <w:tc>
          <w:tcPr>
            <w:tcW w:w="1242" w:type="dxa"/>
            <w:vAlign w:val="center"/>
          </w:tcPr>
          <w:p w:rsidR="003E76D7" w:rsidRPr="00EC3A6A" w:rsidRDefault="003E76D7" w:rsidP="003E76D7">
            <w:pPr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6842</w:t>
            </w:r>
            <w:r w:rsidR="0093769C" w:rsidRPr="00EC3A6A">
              <w:rPr>
                <w:sz w:val="28"/>
                <w:szCs w:val="28"/>
              </w:rPr>
              <w:t>7</w:t>
            </w:r>
          </w:p>
        </w:tc>
        <w:tc>
          <w:tcPr>
            <w:tcW w:w="1460" w:type="dxa"/>
            <w:vAlign w:val="center"/>
          </w:tcPr>
          <w:p w:rsidR="003E76D7" w:rsidRPr="00EC3A6A" w:rsidRDefault="003E76D7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99,1</w:t>
            </w:r>
          </w:p>
        </w:tc>
      </w:tr>
      <w:tr w:rsidR="003E76D7" w:rsidRPr="00EC3A6A" w:rsidTr="003E76D7">
        <w:tc>
          <w:tcPr>
            <w:tcW w:w="425" w:type="dxa"/>
            <w:vMerge/>
          </w:tcPr>
          <w:p w:rsidR="003E76D7" w:rsidRPr="0093769C" w:rsidRDefault="003E76D7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3E76D7" w:rsidRPr="00EC3A6A" w:rsidRDefault="003E76D7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темп роста в сопоставимых ценах</w:t>
            </w:r>
          </w:p>
        </w:tc>
        <w:tc>
          <w:tcPr>
            <w:tcW w:w="1841" w:type="dxa"/>
            <w:vAlign w:val="center"/>
          </w:tcPr>
          <w:p w:rsidR="003E76D7" w:rsidRPr="00EC3A6A" w:rsidRDefault="003E76D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3E76D7" w:rsidRPr="00EC3A6A" w:rsidRDefault="003E76D7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100,7</w:t>
            </w:r>
          </w:p>
        </w:tc>
        <w:tc>
          <w:tcPr>
            <w:tcW w:w="1242" w:type="dxa"/>
            <w:vAlign w:val="center"/>
          </w:tcPr>
          <w:p w:rsidR="003E76D7" w:rsidRPr="00EC3A6A" w:rsidRDefault="003E76D7" w:rsidP="003E76D7">
            <w:pPr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99,</w:t>
            </w:r>
            <w:r w:rsidR="00730434" w:rsidRPr="00EC3A6A">
              <w:rPr>
                <w:sz w:val="28"/>
                <w:szCs w:val="28"/>
              </w:rPr>
              <w:t>3</w:t>
            </w:r>
          </w:p>
        </w:tc>
        <w:tc>
          <w:tcPr>
            <w:tcW w:w="1460" w:type="dxa"/>
            <w:vAlign w:val="center"/>
          </w:tcPr>
          <w:p w:rsidR="003E76D7" w:rsidRPr="00EC3A6A" w:rsidRDefault="00730434" w:rsidP="003E76D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- 1,4</w:t>
            </w:r>
            <w:r w:rsidR="003E76D7" w:rsidRPr="00EC3A6A">
              <w:rPr>
                <w:rFonts w:eastAsiaTheme="minorHAnsi"/>
                <w:sz w:val="28"/>
                <w:szCs w:val="28"/>
                <w:lang w:eastAsia="en-US"/>
              </w:rPr>
              <w:t xml:space="preserve"> п.п.</w:t>
            </w:r>
          </w:p>
        </w:tc>
      </w:tr>
      <w:tr w:rsidR="00931BAF" w:rsidRPr="00EC3A6A" w:rsidTr="001665DC">
        <w:tc>
          <w:tcPr>
            <w:tcW w:w="425" w:type="dxa"/>
          </w:tcPr>
          <w:p w:rsidR="00931BAF" w:rsidRPr="0093769C" w:rsidRDefault="00931BAF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4666" w:type="dxa"/>
          </w:tcPr>
          <w:p w:rsidR="00931BAF" w:rsidRPr="00EC3A6A" w:rsidRDefault="00931BAF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Прибыль прибыльных организаций</w:t>
            </w:r>
          </w:p>
        </w:tc>
        <w:tc>
          <w:tcPr>
            <w:tcW w:w="1841" w:type="dxa"/>
            <w:vAlign w:val="center"/>
          </w:tcPr>
          <w:p w:rsidR="00931BAF" w:rsidRPr="00EC3A6A" w:rsidRDefault="00931BAF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931BAF" w:rsidRPr="00EC3A6A" w:rsidRDefault="008A4517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135547</w:t>
            </w:r>
          </w:p>
        </w:tc>
        <w:tc>
          <w:tcPr>
            <w:tcW w:w="1242" w:type="dxa"/>
            <w:vAlign w:val="center"/>
          </w:tcPr>
          <w:p w:rsidR="00931BAF" w:rsidRPr="00EC3A6A" w:rsidRDefault="00ED2EAE" w:rsidP="003A7009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131628</w:t>
            </w:r>
            <w:r w:rsidR="005979EE" w:rsidRPr="00EC3A6A">
              <w:rPr>
                <w:sz w:val="28"/>
                <w:szCs w:val="28"/>
              </w:rPr>
              <w:t>**</w:t>
            </w:r>
          </w:p>
        </w:tc>
        <w:tc>
          <w:tcPr>
            <w:tcW w:w="1460" w:type="dxa"/>
            <w:vAlign w:val="center"/>
          </w:tcPr>
          <w:p w:rsidR="00931BAF" w:rsidRPr="00EC3A6A" w:rsidRDefault="00ED2EAE" w:rsidP="005C251C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97,1</w:t>
            </w:r>
          </w:p>
        </w:tc>
      </w:tr>
      <w:tr w:rsidR="00C81C4A" w:rsidRPr="00EC3A6A" w:rsidTr="00C81C4A">
        <w:tc>
          <w:tcPr>
            <w:tcW w:w="425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Фонд заработной платы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млн. рублей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192430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193 989</w:t>
            </w:r>
          </w:p>
        </w:tc>
        <w:tc>
          <w:tcPr>
            <w:tcW w:w="1460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100,8</w:t>
            </w:r>
          </w:p>
        </w:tc>
      </w:tr>
      <w:tr w:rsidR="00C81C4A" w:rsidRPr="00EC3A6A" w:rsidTr="00C81C4A">
        <w:tc>
          <w:tcPr>
            <w:tcW w:w="425" w:type="dxa"/>
            <w:vMerge w:val="restart"/>
          </w:tcPr>
          <w:p w:rsidR="00C81C4A" w:rsidRPr="0093769C" w:rsidRDefault="00C81C4A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  <w:r w:rsidRPr="0093769C">
              <w:rPr>
                <w:sz w:val="28"/>
                <w:szCs w:val="28"/>
              </w:rPr>
              <w:t>13</w:t>
            </w: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Номинальная начисленная среднемесячная заработная плата одного работника (в среднем за период)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33402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34 069**</w:t>
            </w:r>
          </w:p>
        </w:tc>
        <w:tc>
          <w:tcPr>
            <w:tcW w:w="1460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102,0</w:t>
            </w:r>
          </w:p>
        </w:tc>
      </w:tr>
      <w:tr w:rsidR="00C81C4A" w:rsidRPr="00EC3A6A" w:rsidTr="00C81C4A">
        <w:tc>
          <w:tcPr>
            <w:tcW w:w="425" w:type="dxa"/>
            <w:vMerge/>
          </w:tcPr>
          <w:p w:rsidR="00C81C4A" w:rsidRPr="0093769C" w:rsidRDefault="00C81C4A" w:rsidP="00931BAF">
            <w:pPr>
              <w:pStyle w:val="ac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темп роста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в процентах к предыдущему году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105,4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106,5**</w:t>
            </w:r>
          </w:p>
        </w:tc>
        <w:tc>
          <w:tcPr>
            <w:tcW w:w="1460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101,0</w:t>
            </w:r>
          </w:p>
        </w:tc>
      </w:tr>
      <w:tr w:rsidR="00C81C4A" w:rsidRPr="00EC3A6A" w:rsidTr="00C81C4A">
        <w:tc>
          <w:tcPr>
            <w:tcW w:w="425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Реальные располагаемые денежные доходы населения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97,8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101,8**</w:t>
            </w:r>
          </w:p>
        </w:tc>
        <w:tc>
          <w:tcPr>
            <w:tcW w:w="1460" w:type="dxa"/>
            <w:vAlign w:val="center"/>
          </w:tcPr>
          <w:p w:rsidR="00C81C4A" w:rsidRPr="00EC3A6A" w:rsidRDefault="00590A6C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4 п.п.</w:t>
            </w:r>
          </w:p>
        </w:tc>
      </w:tr>
      <w:tr w:rsidR="00C81C4A" w:rsidRPr="00EC3A6A" w:rsidTr="00C81C4A">
        <w:tc>
          <w:tcPr>
            <w:tcW w:w="425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Среднесписочная численность работников организаций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тыс. человек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480,1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474,5</w:t>
            </w:r>
          </w:p>
        </w:tc>
        <w:tc>
          <w:tcPr>
            <w:tcW w:w="1460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98,8</w:t>
            </w:r>
          </w:p>
        </w:tc>
      </w:tr>
      <w:tr w:rsidR="00C81C4A" w:rsidRPr="00EC3A6A" w:rsidTr="00C81C4A">
        <w:tc>
          <w:tcPr>
            <w:tcW w:w="425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Величина прожиточного минимума в среднем на душу населения (в среднем за год)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9426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9 732</w:t>
            </w:r>
          </w:p>
        </w:tc>
        <w:tc>
          <w:tcPr>
            <w:tcW w:w="1460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103,2</w:t>
            </w:r>
          </w:p>
        </w:tc>
      </w:tr>
      <w:tr w:rsidR="00C81C4A" w:rsidRPr="00EC3A6A" w:rsidTr="00C81C4A">
        <w:tc>
          <w:tcPr>
            <w:tcW w:w="425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Численность населения с денежными доходами ниже прожиточного минимума к общей численности населения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11,5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-***</w:t>
            </w:r>
          </w:p>
        </w:tc>
        <w:tc>
          <w:tcPr>
            <w:tcW w:w="1460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-***</w:t>
            </w:r>
          </w:p>
        </w:tc>
      </w:tr>
      <w:tr w:rsidR="00B1267E" w:rsidRPr="00EC3A6A" w:rsidTr="001665DC">
        <w:tc>
          <w:tcPr>
            <w:tcW w:w="425" w:type="dxa"/>
          </w:tcPr>
          <w:p w:rsidR="00B1267E" w:rsidRPr="0093769C" w:rsidRDefault="00B1267E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66" w:type="dxa"/>
          </w:tcPr>
          <w:p w:rsidR="00B1267E" w:rsidRPr="00EC3A6A" w:rsidRDefault="00B1267E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Экспорт</w:t>
            </w:r>
          </w:p>
        </w:tc>
        <w:tc>
          <w:tcPr>
            <w:tcW w:w="1841" w:type="dxa"/>
            <w:vAlign w:val="center"/>
          </w:tcPr>
          <w:p w:rsidR="00B1267E" w:rsidRPr="00EC3A6A" w:rsidRDefault="00B1267E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млн. долларов США</w:t>
            </w:r>
          </w:p>
        </w:tc>
        <w:tc>
          <w:tcPr>
            <w:tcW w:w="1273" w:type="dxa"/>
            <w:vAlign w:val="center"/>
          </w:tcPr>
          <w:p w:rsidR="00B1267E" w:rsidRPr="00EC3A6A" w:rsidRDefault="00B1267E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387</w:t>
            </w:r>
          </w:p>
        </w:tc>
        <w:tc>
          <w:tcPr>
            <w:tcW w:w="1242" w:type="dxa"/>
            <w:vAlign w:val="center"/>
          </w:tcPr>
          <w:p w:rsidR="00B1267E" w:rsidRPr="00EC3A6A" w:rsidRDefault="00B1267E" w:rsidP="00507AA1">
            <w:pPr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618,4</w:t>
            </w:r>
          </w:p>
        </w:tc>
        <w:tc>
          <w:tcPr>
            <w:tcW w:w="1460" w:type="dxa"/>
            <w:vAlign w:val="center"/>
          </w:tcPr>
          <w:p w:rsidR="00507AA1" w:rsidRPr="00EC3A6A" w:rsidRDefault="00507AA1" w:rsidP="00507AA1">
            <w:pPr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159,8</w:t>
            </w:r>
          </w:p>
        </w:tc>
      </w:tr>
      <w:tr w:rsidR="00B1267E" w:rsidRPr="00EC3A6A" w:rsidTr="001665DC">
        <w:tc>
          <w:tcPr>
            <w:tcW w:w="425" w:type="dxa"/>
          </w:tcPr>
          <w:p w:rsidR="00B1267E" w:rsidRPr="0093769C" w:rsidRDefault="00B1267E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66" w:type="dxa"/>
          </w:tcPr>
          <w:p w:rsidR="00B1267E" w:rsidRPr="00EC3A6A" w:rsidRDefault="00B1267E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Импорт</w:t>
            </w:r>
          </w:p>
        </w:tc>
        <w:tc>
          <w:tcPr>
            <w:tcW w:w="1841" w:type="dxa"/>
            <w:vAlign w:val="center"/>
          </w:tcPr>
          <w:p w:rsidR="00B1267E" w:rsidRPr="00EC3A6A" w:rsidRDefault="00B1267E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млн. долларов США</w:t>
            </w:r>
          </w:p>
        </w:tc>
        <w:tc>
          <w:tcPr>
            <w:tcW w:w="1273" w:type="dxa"/>
            <w:vAlign w:val="center"/>
          </w:tcPr>
          <w:p w:rsidR="00B1267E" w:rsidRPr="00EC3A6A" w:rsidRDefault="00B1267E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375</w:t>
            </w:r>
          </w:p>
        </w:tc>
        <w:tc>
          <w:tcPr>
            <w:tcW w:w="1242" w:type="dxa"/>
            <w:vAlign w:val="center"/>
          </w:tcPr>
          <w:p w:rsidR="00B1267E" w:rsidRPr="00EC3A6A" w:rsidRDefault="00B1267E" w:rsidP="00507AA1">
            <w:pPr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383,3</w:t>
            </w:r>
          </w:p>
        </w:tc>
        <w:tc>
          <w:tcPr>
            <w:tcW w:w="1460" w:type="dxa"/>
            <w:vAlign w:val="center"/>
          </w:tcPr>
          <w:p w:rsidR="00B1267E" w:rsidRPr="00EC3A6A" w:rsidRDefault="00507AA1" w:rsidP="00507AA1">
            <w:pPr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102,1</w:t>
            </w:r>
          </w:p>
        </w:tc>
      </w:tr>
      <w:tr w:rsidR="00C81C4A" w:rsidRPr="00EC3A6A" w:rsidTr="00C81C4A">
        <w:tc>
          <w:tcPr>
            <w:tcW w:w="425" w:type="dxa"/>
          </w:tcPr>
          <w:p w:rsidR="00C81C4A" w:rsidRPr="0093769C" w:rsidRDefault="00C81C4A" w:rsidP="00931BA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3769C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66" w:type="dxa"/>
          </w:tcPr>
          <w:p w:rsidR="00C81C4A" w:rsidRPr="00EC3A6A" w:rsidRDefault="00C81C4A" w:rsidP="00931BAF">
            <w:pPr>
              <w:autoSpaceDE w:val="0"/>
              <w:autoSpaceDN w:val="0"/>
              <w:adjustRightInd w:val="0"/>
              <w:ind w:left="-57" w:right="-57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Уровень официально зарегистрированной безработицы (на конец года)</w:t>
            </w:r>
          </w:p>
        </w:tc>
        <w:tc>
          <w:tcPr>
            <w:tcW w:w="1841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процентов</w:t>
            </w:r>
          </w:p>
        </w:tc>
        <w:tc>
          <w:tcPr>
            <w:tcW w:w="1273" w:type="dxa"/>
            <w:vAlign w:val="center"/>
          </w:tcPr>
          <w:p w:rsidR="00C81C4A" w:rsidRPr="00EC3A6A" w:rsidRDefault="00C81C4A" w:rsidP="005C251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EC3A6A">
              <w:rPr>
                <w:rFonts w:eastAsiaTheme="minorHAnsi"/>
                <w:sz w:val="28"/>
                <w:szCs w:val="28"/>
                <w:lang w:eastAsia="en-US"/>
              </w:rPr>
              <w:t>1,09</w:t>
            </w:r>
          </w:p>
        </w:tc>
        <w:tc>
          <w:tcPr>
            <w:tcW w:w="1242" w:type="dxa"/>
            <w:vAlign w:val="center"/>
          </w:tcPr>
          <w:p w:rsidR="00C81C4A" w:rsidRPr="00EC3A6A" w:rsidRDefault="00C81C4A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0,98</w:t>
            </w:r>
          </w:p>
        </w:tc>
        <w:tc>
          <w:tcPr>
            <w:tcW w:w="1460" w:type="dxa"/>
            <w:vAlign w:val="center"/>
          </w:tcPr>
          <w:p w:rsidR="00C81C4A" w:rsidRPr="00EC3A6A" w:rsidRDefault="00590A6C" w:rsidP="00C81C4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C3A6A">
              <w:rPr>
                <w:sz w:val="28"/>
                <w:szCs w:val="28"/>
              </w:rPr>
              <w:t>0,11 п.п.</w:t>
            </w:r>
          </w:p>
        </w:tc>
      </w:tr>
    </w:tbl>
    <w:p w:rsidR="00931BAF" w:rsidRDefault="00931BAF" w:rsidP="00931BAF">
      <w:pPr>
        <w:pStyle w:val="ac"/>
        <w:jc w:val="center"/>
        <w:rPr>
          <w:sz w:val="28"/>
          <w:szCs w:val="26"/>
        </w:rPr>
      </w:pPr>
    </w:p>
    <w:p w:rsidR="0093769C" w:rsidRPr="00D41682" w:rsidRDefault="0093769C" w:rsidP="00931BAF">
      <w:pPr>
        <w:pStyle w:val="ac"/>
        <w:jc w:val="center"/>
        <w:rPr>
          <w:sz w:val="28"/>
          <w:szCs w:val="26"/>
        </w:rPr>
      </w:pPr>
    </w:p>
    <w:p w:rsidR="002B373C" w:rsidRPr="00EC3A6A" w:rsidRDefault="002B373C" w:rsidP="002B373C">
      <w:pPr>
        <w:pStyle w:val="ac"/>
        <w:rPr>
          <w:sz w:val="28"/>
          <w:szCs w:val="26"/>
        </w:rPr>
      </w:pPr>
      <w:r w:rsidRPr="00EC3A6A">
        <w:rPr>
          <w:sz w:val="28"/>
          <w:szCs w:val="24"/>
        </w:rPr>
        <w:lastRenderedPageBreak/>
        <w:t xml:space="preserve">* - </w:t>
      </w:r>
      <w:r w:rsidR="00C81C4A" w:rsidRPr="00EC3A6A">
        <w:rPr>
          <w:sz w:val="28"/>
          <w:szCs w:val="24"/>
        </w:rPr>
        <w:t>предварительные данные</w:t>
      </w:r>
    </w:p>
    <w:p w:rsidR="00C81C4A" w:rsidRPr="00EC3A6A" w:rsidRDefault="00C81C4A" w:rsidP="002B373C">
      <w:pPr>
        <w:pStyle w:val="ac"/>
        <w:rPr>
          <w:sz w:val="32"/>
          <w:szCs w:val="26"/>
        </w:rPr>
      </w:pPr>
      <w:r w:rsidRPr="00EC3A6A">
        <w:rPr>
          <w:sz w:val="28"/>
          <w:szCs w:val="24"/>
        </w:rPr>
        <w:t xml:space="preserve">** - </w:t>
      </w:r>
      <w:r w:rsidRPr="00EC3A6A">
        <w:rPr>
          <w:sz w:val="28"/>
          <w:szCs w:val="26"/>
        </w:rPr>
        <w:t>оценка</w:t>
      </w:r>
    </w:p>
    <w:p w:rsidR="00F2794B" w:rsidRPr="00EC3A6A" w:rsidRDefault="00F2794B" w:rsidP="00F2794B">
      <w:pPr>
        <w:pStyle w:val="ac"/>
        <w:rPr>
          <w:sz w:val="28"/>
          <w:szCs w:val="24"/>
        </w:rPr>
      </w:pPr>
      <w:r w:rsidRPr="00EC3A6A">
        <w:rPr>
          <w:sz w:val="28"/>
          <w:szCs w:val="24"/>
        </w:rPr>
        <w:t>*</w:t>
      </w:r>
      <w:r w:rsidR="003E1F5A" w:rsidRPr="00EC3A6A">
        <w:rPr>
          <w:sz w:val="28"/>
          <w:szCs w:val="24"/>
        </w:rPr>
        <w:t>*</w:t>
      </w:r>
      <w:r w:rsidRPr="00EC3A6A">
        <w:rPr>
          <w:sz w:val="28"/>
          <w:szCs w:val="24"/>
        </w:rPr>
        <w:t>* - на отчетную дату статистические д</w:t>
      </w:r>
      <w:r w:rsidR="002506FB" w:rsidRPr="00EC3A6A">
        <w:rPr>
          <w:sz w:val="28"/>
          <w:szCs w:val="24"/>
        </w:rPr>
        <w:t>анные по показателю отсутствуют</w:t>
      </w:r>
    </w:p>
    <w:p w:rsidR="00931BAF" w:rsidRDefault="00931BAF" w:rsidP="00931BAF">
      <w:pPr>
        <w:pStyle w:val="ac"/>
        <w:jc w:val="center"/>
        <w:rPr>
          <w:sz w:val="28"/>
          <w:szCs w:val="26"/>
        </w:rPr>
      </w:pPr>
    </w:p>
    <w:p w:rsidR="00931BAF" w:rsidRDefault="00931BAF" w:rsidP="00931BAF">
      <w:pPr>
        <w:pStyle w:val="ac"/>
        <w:jc w:val="center"/>
        <w:rPr>
          <w:sz w:val="28"/>
          <w:szCs w:val="26"/>
        </w:rPr>
      </w:pPr>
    </w:p>
    <w:p w:rsidR="00473FA2" w:rsidRDefault="00473FA2" w:rsidP="00931BAF">
      <w:pPr>
        <w:pStyle w:val="ac"/>
        <w:jc w:val="center"/>
        <w:rPr>
          <w:sz w:val="28"/>
          <w:szCs w:val="26"/>
        </w:rPr>
      </w:pPr>
    </w:p>
    <w:p w:rsidR="00473FA2" w:rsidRDefault="00473FA2" w:rsidP="00931BAF">
      <w:pPr>
        <w:pStyle w:val="ac"/>
        <w:jc w:val="center"/>
        <w:rPr>
          <w:sz w:val="28"/>
          <w:szCs w:val="26"/>
        </w:rPr>
      </w:pPr>
    </w:p>
    <w:p w:rsidR="00473FA2" w:rsidRDefault="00473FA2" w:rsidP="00931BAF">
      <w:pPr>
        <w:pStyle w:val="ac"/>
        <w:jc w:val="center"/>
        <w:rPr>
          <w:sz w:val="28"/>
          <w:szCs w:val="26"/>
        </w:rPr>
      </w:pPr>
    </w:p>
    <w:p w:rsidR="00473FA2" w:rsidRDefault="00473FA2" w:rsidP="00931BAF">
      <w:pPr>
        <w:pStyle w:val="ac"/>
        <w:jc w:val="center"/>
        <w:rPr>
          <w:sz w:val="28"/>
          <w:szCs w:val="26"/>
        </w:rPr>
      </w:pPr>
    </w:p>
    <w:p w:rsidR="00473FA2" w:rsidRDefault="00473FA2" w:rsidP="00931BAF">
      <w:pPr>
        <w:pStyle w:val="ac"/>
        <w:jc w:val="center"/>
        <w:rPr>
          <w:sz w:val="28"/>
          <w:szCs w:val="26"/>
        </w:rPr>
      </w:pPr>
    </w:p>
    <w:p w:rsidR="00473FA2" w:rsidRDefault="00473FA2" w:rsidP="00931BAF">
      <w:pPr>
        <w:pStyle w:val="ac"/>
        <w:jc w:val="center"/>
        <w:rPr>
          <w:sz w:val="28"/>
          <w:szCs w:val="26"/>
        </w:rPr>
      </w:pPr>
    </w:p>
    <w:p w:rsidR="007F633E" w:rsidRDefault="007F633E" w:rsidP="00931BAF">
      <w:pPr>
        <w:pStyle w:val="ac"/>
        <w:jc w:val="center"/>
        <w:rPr>
          <w:sz w:val="28"/>
          <w:szCs w:val="26"/>
        </w:rPr>
      </w:pPr>
    </w:p>
    <w:p w:rsidR="007F633E" w:rsidRDefault="007F633E" w:rsidP="00931BAF">
      <w:pPr>
        <w:pStyle w:val="ac"/>
        <w:jc w:val="center"/>
        <w:rPr>
          <w:sz w:val="28"/>
          <w:szCs w:val="26"/>
        </w:rPr>
      </w:pPr>
    </w:p>
    <w:p w:rsidR="00755CB2" w:rsidRDefault="00755CB2" w:rsidP="00931BAF">
      <w:pPr>
        <w:pStyle w:val="ac"/>
        <w:jc w:val="center"/>
        <w:rPr>
          <w:sz w:val="28"/>
          <w:szCs w:val="26"/>
        </w:rPr>
        <w:sectPr w:rsidR="00755CB2" w:rsidSect="00504C86">
          <w:headerReference w:type="default" r:id="rId8"/>
          <w:pgSz w:w="11906" w:h="16838"/>
          <w:pgMar w:top="1134" w:right="567" w:bottom="851" w:left="1701" w:header="709" w:footer="709" w:gutter="0"/>
          <w:pgNumType w:start="126"/>
          <w:cols w:space="708"/>
          <w:docGrid w:linePitch="360"/>
        </w:sectPr>
      </w:pPr>
    </w:p>
    <w:p w:rsidR="00473FA2" w:rsidRPr="0093769C" w:rsidRDefault="00473FA2" w:rsidP="00681AB2">
      <w:pPr>
        <w:pStyle w:val="ac"/>
        <w:spacing w:before="120" w:after="120" w:line="276" w:lineRule="auto"/>
        <w:ind w:right="140" w:firstLine="851"/>
        <w:jc w:val="center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lastRenderedPageBreak/>
        <w:t>Пояснительная записка к предварительным итогам выполнения прогноза социально-экономического развития Удмуртской Республики за 201</w:t>
      </w:r>
      <w:r w:rsidR="008C5EC8" w:rsidRPr="0093769C">
        <w:rPr>
          <w:b/>
          <w:sz w:val="28"/>
          <w:szCs w:val="28"/>
        </w:rPr>
        <w:t>9</w:t>
      </w:r>
      <w:r w:rsidRPr="0093769C">
        <w:rPr>
          <w:b/>
          <w:sz w:val="28"/>
          <w:szCs w:val="28"/>
        </w:rPr>
        <w:t xml:space="preserve"> год</w:t>
      </w:r>
    </w:p>
    <w:p w:rsidR="00473FA2" w:rsidRPr="0093769C" w:rsidRDefault="00473FA2" w:rsidP="00681AB2">
      <w:pPr>
        <w:pStyle w:val="ac"/>
        <w:spacing w:before="120" w:after="120" w:line="276" w:lineRule="auto"/>
        <w:ind w:right="140" w:firstLine="851"/>
        <w:jc w:val="center"/>
        <w:rPr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Численность постоянного населения (в среднегодовом исчислении)</w:t>
      </w:r>
    </w:p>
    <w:p w:rsidR="00C81C4A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По состоянию на </w:t>
      </w:r>
      <w:r w:rsidR="003D6936" w:rsidRPr="0093769C">
        <w:rPr>
          <w:sz w:val="28"/>
          <w:szCs w:val="28"/>
        </w:rPr>
        <w:t>1 января 2020 года по предварительным данным Росстата численность постоянного населения республики составила 1 501,0 тыс. человек. З</w:t>
      </w:r>
      <w:r w:rsidRPr="0093769C">
        <w:rPr>
          <w:sz w:val="28"/>
          <w:szCs w:val="28"/>
        </w:rPr>
        <w:t xml:space="preserve">а январь-декабрь 2019 года </w:t>
      </w:r>
      <w:r w:rsidR="003D6936" w:rsidRPr="0093769C">
        <w:rPr>
          <w:sz w:val="28"/>
          <w:szCs w:val="28"/>
        </w:rPr>
        <w:t>численность населения сократилась на 6 385 человек.</w:t>
      </w:r>
    </w:p>
    <w:p w:rsidR="003D6936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Основными причинами сокращения численности постоянного населения являются большая естественная и миграционная убыль населения. Существенное снижение количества рождений при незначительном снижении смертности привело к тому, что в 2019 году естественная убыль населения республика увеличилась практически вдвое и составила 3 334 человека. </w:t>
      </w:r>
    </w:p>
    <w:p w:rsidR="00C81C4A" w:rsidRPr="0093769C" w:rsidRDefault="003D6936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В </w:t>
      </w:r>
      <w:r w:rsidR="00C81C4A" w:rsidRPr="0093769C">
        <w:rPr>
          <w:sz w:val="28"/>
          <w:szCs w:val="28"/>
        </w:rPr>
        <w:t>2019 год</w:t>
      </w:r>
      <w:r w:rsidRPr="0093769C">
        <w:rPr>
          <w:sz w:val="28"/>
          <w:szCs w:val="28"/>
        </w:rPr>
        <w:t>у</w:t>
      </w:r>
      <w:r w:rsidR="00C81C4A" w:rsidRPr="0093769C">
        <w:rPr>
          <w:sz w:val="28"/>
          <w:szCs w:val="28"/>
        </w:rPr>
        <w:t xml:space="preserve"> в Удмуртской Республике родилось 14 602 ребенка, это на </w:t>
      </w:r>
      <w:r w:rsidRPr="0093769C">
        <w:rPr>
          <w:sz w:val="28"/>
          <w:szCs w:val="28"/>
        </w:rPr>
        <w:t xml:space="preserve">  </w:t>
      </w:r>
      <w:r w:rsidR="00C81C4A" w:rsidRPr="0093769C">
        <w:rPr>
          <w:sz w:val="28"/>
          <w:szCs w:val="28"/>
        </w:rPr>
        <w:t xml:space="preserve">1 821 ребенка меньше, чем за 2018 год. Умерло 17 936 человек, это на 143 человека меньше, чем в 2018 году. </w:t>
      </w:r>
    </w:p>
    <w:p w:rsidR="00C81C4A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 2019 году произошло сокращение масштабов миграционной убыли населения республики. За январь</w:t>
      </w:r>
      <w:r w:rsidR="00552E5B" w:rsidRPr="0093769C">
        <w:rPr>
          <w:sz w:val="28"/>
          <w:szCs w:val="28"/>
        </w:rPr>
        <w:t>-</w:t>
      </w:r>
      <w:r w:rsidRPr="0093769C">
        <w:rPr>
          <w:sz w:val="28"/>
          <w:szCs w:val="28"/>
        </w:rPr>
        <w:t>декабрь 2019 год</w:t>
      </w:r>
      <w:r w:rsidR="003D6936" w:rsidRPr="0093769C">
        <w:rPr>
          <w:sz w:val="28"/>
          <w:szCs w:val="28"/>
        </w:rPr>
        <w:t>а</w:t>
      </w:r>
      <w:r w:rsidRPr="0093769C">
        <w:rPr>
          <w:sz w:val="28"/>
          <w:szCs w:val="28"/>
        </w:rPr>
        <w:t xml:space="preserve"> миграционная убыль населения составила 3 059 человек, это на 939 человек меньше, чем за 2018 год (в 2018 году миграционная убыль составила 3 998 человек). Более 70% миграционного потока составляют лица трудоспособного возраста – Удмуртская Республика теряет трудоспособное население, которое уезжает учиться (учебная миграция) и работать (более широкий спектр рабочих мест и более высокий заработок) в другие регионы Российской Федерации. </w:t>
      </w: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Индекс потребительских цен</w:t>
      </w:r>
    </w:p>
    <w:p w:rsidR="00464CB0" w:rsidRPr="0093769C" w:rsidRDefault="00464CB0" w:rsidP="00681AB2">
      <w:pPr>
        <w:spacing w:before="120" w:after="120" w:line="276" w:lineRule="auto"/>
        <w:ind w:right="142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По итогам 2019 года индекс потребительских цен составил 103,5% в среднем за год и 102,4% к декабрю 2018 года при прогнозных значениях 105,0% (-1,5 п.п.) и 104,6% (-2,2 п.п.) соответственно. Ситуация с ростом цен повторяет общероссийские тенденции, при этом инфляция в республике стабильно остается ниже среднероссийских значений. По России среднегодовой индекс потребительских цен составил 104,5%.</w:t>
      </w:r>
    </w:p>
    <w:p w:rsidR="00750996" w:rsidRPr="0093769C" w:rsidRDefault="00464CB0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Инфляция опустилась ниже целевого уровня, несмотря на действие ряда проинфляционных факторов (повышение ставки НДС, индексация </w:t>
      </w:r>
      <w:r w:rsidRPr="0093769C">
        <w:rPr>
          <w:sz w:val="28"/>
          <w:szCs w:val="28"/>
        </w:rPr>
        <w:lastRenderedPageBreak/>
        <w:t xml:space="preserve">тарифов на жилищно-коммунальные услуги). По сравнению с предшествующим годом рост цен наблюдался во всех секторах потребительского рынка: продовольственные товары подорожали на 1,9% г/г, непродовольственные товары – на 2,4% г/г, услуги – на 3,3% г/г. </w:t>
      </w:r>
    </w:p>
    <w:p w:rsidR="00464CB0" w:rsidRPr="0093769C" w:rsidRDefault="00464CB0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Вместе с тем наблюдается замедление темпов роста потребительских цен во всех сегментах рынка, что свидетельствует о снижении внутреннего спроса, обусловленное слабой динамикой реальных денежных доходов населения республики (в 2019 году – 102,1%, в 2018 году – 96,9%, в 2017 году – 98,5%, в 2016 году – 93,4%), а также ужесточением правил потребительского кредитования.</w:t>
      </w:r>
    </w:p>
    <w:p w:rsidR="008B7AAB" w:rsidRPr="0093769C" w:rsidRDefault="00464CB0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Также снижению инфляции способствовали жесткая бюджетная политика, укрепление рубля и относительно стабильная ситуация на мировых финансовых рынках.</w:t>
      </w:r>
    </w:p>
    <w:p w:rsidR="00464CB0" w:rsidRPr="0093769C" w:rsidRDefault="00464CB0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Валов</w:t>
      </w:r>
      <w:r w:rsidR="00F40B1A" w:rsidRPr="0093769C">
        <w:rPr>
          <w:b/>
          <w:sz w:val="28"/>
          <w:szCs w:val="28"/>
        </w:rPr>
        <w:t>о</w:t>
      </w:r>
      <w:r w:rsidRPr="0093769C">
        <w:rPr>
          <w:b/>
          <w:sz w:val="28"/>
          <w:szCs w:val="28"/>
        </w:rPr>
        <w:t>й региональный продукт</w:t>
      </w:r>
    </w:p>
    <w:p w:rsidR="0097754E" w:rsidRPr="0093769C" w:rsidRDefault="0097754E" w:rsidP="00681AB2">
      <w:pPr>
        <w:suppressAutoHyphens/>
        <w:spacing w:before="120" w:after="120" w:line="276" w:lineRule="auto"/>
        <w:ind w:firstLine="851"/>
        <w:jc w:val="both"/>
        <w:rPr>
          <w:sz w:val="28"/>
          <w:szCs w:val="28"/>
          <w:lang w:eastAsia="ar-SA"/>
        </w:rPr>
      </w:pPr>
      <w:r w:rsidRPr="0093769C">
        <w:rPr>
          <w:sz w:val="28"/>
          <w:szCs w:val="28"/>
          <w:lang w:eastAsia="ar-SA"/>
        </w:rPr>
        <w:t>В марте 2020 года Удмуртстатом представлены данные по оценке ВРП 2017-2018 годов. В 2018 году ВРП увеличился на 2,1% и составил 631118 млн. руб</w:t>
      </w:r>
      <w:r w:rsidR="0078710F" w:rsidRPr="0093769C">
        <w:rPr>
          <w:sz w:val="28"/>
          <w:szCs w:val="28"/>
          <w:lang w:eastAsia="ar-SA"/>
        </w:rPr>
        <w:t>лей</w:t>
      </w:r>
      <w:r w:rsidRPr="0093769C">
        <w:rPr>
          <w:sz w:val="28"/>
          <w:szCs w:val="28"/>
          <w:lang w:eastAsia="ar-SA"/>
        </w:rPr>
        <w:t>. С учетом статинформации оценка ВРП 2019 года планируется на уровне 646425 млн. руб</w:t>
      </w:r>
      <w:r w:rsidR="0078710F" w:rsidRPr="0093769C">
        <w:rPr>
          <w:sz w:val="28"/>
          <w:szCs w:val="28"/>
          <w:lang w:eastAsia="ar-SA"/>
        </w:rPr>
        <w:t>лей</w:t>
      </w:r>
      <w:r w:rsidRPr="0093769C">
        <w:rPr>
          <w:sz w:val="28"/>
          <w:szCs w:val="28"/>
          <w:lang w:eastAsia="ar-SA"/>
        </w:rPr>
        <w:t xml:space="preserve">, что на 1,2% выше уровня 2018 года в сопоставимых ценах.  Прогнозное значение на 2019 год превышено на 0,7% по номинальному объему и </w:t>
      </w:r>
      <w:r w:rsidR="0078710F" w:rsidRPr="0093769C">
        <w:rPr>
          <w:sz w:val="28"/>
          <w:szCs w:val="28"/>
          <w:lang w:eastAsia="ar-SA"/>
        </w:rPr>
        <w:t xml:space="preserve">на </w:t>
      </w:r>
      <w:r w:rsidRPr="0093769C">
        <w:rPr>
          <w:sz w:val="28"/>
          <w:szCs w:val="28"/>
          <w:lang w:eastAsia="ar-SA"/>
        </w:rPr>
        <w:t xml:space="preserve">1,2 п.п – по темпу роста в сопоставимых ценах. </w:t>
      </w:r>
    </w:p>
    <w:p w:rsidR="0097754E" w:rsidRPr="0093769C" w:rsidRDefault="0097754E" w:rsidP="00681AB2">
      <w:pPr>
        <w:suppressAutoHyphens/>
        <w:spacing w:before="120" w:after="120" w:line="276" w:lineRule="auto"/>
        <w:ind w:firstLine="851"/>
        <w:jc w:val="both"/>
        <w:rPr>
          <w:sz w:val="28"/>
          <w:szCs w:val="28"/>
          <w:lang w:eastAsia="ar-SA"/>
        </w:rPr>
      </w:pPr>
      <w:r w:rsidRPr="0093769C">
        <w:rPr>
          <w:sz w:val="28"/>
          <w:szCs w:val="28"/>
          <w:lang w:eastAsia="ar-SA"/>
        </w:rPr>
        <w:t>В отраслевом разрезе положительная динамика ВРП по сравнению с предыдущим годом будет обеспечен</w:t>
      </w:r>
      <w:r w:rsidR="0078710F" w:rsidRPr="0093769C">
        <w:rPr>
          <w:sz w:val="28"/>
          <w:szCs w:val="28"/>
          <w:lang w:eastAsia="ar-SA"/>
        </w:rPr>
        <w:t>а</w:t>
      </w:r>
      <w:r w:rsidRPr="0093769C">
        <w:rPr>
          <w:sz w:val="28"/>
          <w:szCs w:val="28"/>
          <w:lang w:eastAsia="ar-SA"/>
        </w:rPr>
        <w:t xml:space="preserve"> такими секторами, как обрабатывающая промышленность, сельское хозяйство, деятельность в области информатизации и связи, деятельность по операциям с недвижимым имуществом. </w:t>
      </w:r>
    </w:p>
    <w:p w:rsidR="0097754E" w:rsidRPr="0093769C" w:rsidRDefault="0097754E" w:rsidP="00681AB2">
      <w:pPr>
        <w:suppressAutoHyphens/>
        <w:spacing w:before="120" w:after="120" w:line="276" w:lineRule="auto"/>
        <w:ind w:firstLine="851"/>
        <w:jc w:val="both"/>
        <w:rPr>
          <w:sz w:val="28"/>
          <w:szCs w:val="28"/>
          <w:lang w:eastAsia="ar-SA"/>
        </w:rPr>
      </w:pPr>
      <w:r w:rsidRPr="0093769C">
        <w:rPr>
          <w:sz w:val="28"/>
          <w:szCs w:val="28"/>
          <w:lang w:eastAsia="ar-SA"/>
        </w:rPr>
        <w:t xml:space="preserve">Вместе с тем, на невысокие темпы роста объема ВРП в 2019 году (101,2%) повлияло снижение объема работ в строительстве – 86,8% в сопоставимых ценах к уровню 2018 года, оптовой и розничной торговле – 98,1%, отраслей ЖКХ (от 95,6% до 99,1%). </w:t>
      </w: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</w:p>
    <w:p w:rsidR="00A66B65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Объем отгруженной продукции</w:t>
      </w:r>
      <w:r w:rsidR="00A66B65" w:rsidRPr="0093769C">
        <w:rPr>
          <w:b/>
          <w:sz w:val="28"/>
          <w:szCs w:val="28"/>
        </w:rPr>
        <w:t xml:space="preserve">, </w:t>
      </w:r>
      <w:r w:rsidR="00D4315B" w:rsidRPr="0093769C">
        <w:rPr>
          <w:b/>
          <w:sz w:val="28"/>
          <w:szCs w:val="28"/>
        </w:rPr>
        <w:t>И</w:t>
      </w:r>
      <w:r w:rsidR="00A66B65" w:rsidRPr="0093769C">
        <w:rPr>
          <w:b/>
          <w:sz w:val="28"/>
          <w:szCs w:val="28"/>
        </w:rPr>
        <w:t>ндекс промышленного производства</w:t>
      </w:r>
    </w:p>
    <w:p w:rsidR="003E76D7" w:rsidRPr="0093769C" w:rsidRDefault="003E76D7" w:rsidP="00681AB2">
      <w:pPr>
        <w:suppressAutoHyphens/>
        <w:spacing w:before="120" w:after="120" w:line="276" w:lineRule="auto"/>
        <w:ind w:firstLine="851"/>
        <w:jc w:val="both"/>
        <w:rPr>
          <w:sz w:val="28"/>
          <w:szCs w:val="28"/>
          <w:lang w:eastAsia="ar-SA"/>
        </w:rPr>
      </w:pPr>
      <w:r w:rsidRPr="0093769C">
        <w:rPr>
          <w:sz w:val="28"/>
          <w:szCs w:val="28"/>
          <w:lang w:eastAsia="ar-SA"/>
        </w:rPr>
        <w:t xml:space="preserve">Фактическое значение показателя составило 680 340 </w:t>
      </w:r>
      <w:r w:rsidRPr="0093769C">
        <w:rPr>
          <w:color w:val="000000"/>
          <w:sz w:val="28"/>
          <w:szCs w:val="28"/>
          <w:lang w:eastAsia="ar-SA"/>
        </w:rPr>
        <w:t>млн. рублей. Отклонение от прогноза составило</w:t>
      </w:r>
      <w:r w:rsidRPr="0093769C">
        <w:rPr>
          <w:sz w:val="28"/>
          <w:szCs w:val="28"/>
          <w:lang w:eastAsia="ar-SA"/>
        </w:rPr>
        <w:t xml:space="preserve"> 76 104 </w:t>
      </w:r>
      <w:r w:rsidRPr="0093769C">
        <w:rPr>
          <w:color w:val="000000"/>
          <w:sz w:val="28"/>
          <w:szCs w:val="28"/>
          <w:lang w:eastAsia="ar-SA"/>
        </w:rPr>
        <w:t>млн. рублей</w:t>
      </w:r>
      <w:r w:rsidR="0078710F" w:rsidRPr="0093769C">
        <w:rPr>
          <w:color w:val="000000"/>
          <w:sz w:val="28"/>
          <w:szCs w:val="28"/>
          <w:lang w:eastAsia="ar-SA"/>
        </w:rPr>
        <w:t xml:space="preserve">. </w:t>
      </w:r>
      <w:r w:rsidRPr="0093769C">
        <w:rPr>
          <w:sz w:val="28"/>
          <w:szCs w:val="28"/>
          <w:lang w:eastAsia="ar-SA"/>
        </w:rPr>
        <w:t xml:space="preserve">Причина положительного отклонения показателя обусловлена динамикой цен в </w:t>
      </w:r>
      <w:r w:rsidRPr="0093769C">
        <w:rPr>
          <w:sz w:val="28"/>
          <w:szCs w:val="28"/>
          <w:lang w:eastAsia="ar-SA"/>
        </w:rPr>
        <w:lastRenderedPageBreak/>
        <w:t>производственном секторе экономики. Индекс цен производителей промышленных товаров обрабатывающих производств в 2019 году по отношению к 2018 году составил 102,6%</w:t>
      </w:r>
      <w:r w:rsidRPr="0093769C">
        <w:rPr>
          <w:sz w:val="28"/>
          <w:szCs w:val="28"/>
        </w:rPr>
        <w:t xml:space="preserve"> </w:t>
      </w:r>
      <w:r w:rsidRPr="0093769C">
        <w:rPr>
          <w:sz w:val="28"/>
          <w:szCs w:val="28"/>
          <w:lang w:eastAsia="ar-SA"/>
        </w:rPr>
        <w:t>при индексе-дефляторе – 102,8%.</w:t>
      </w:r>
    </w:p>
    <w:p w:rsidR="003E76D7" w:rsidRPr="0093769C" w:rsidRDefault="003E76D7" w:rsidP="00681AB2">
      <w:pPr>
        <w:tabs>
          <w:tab w:val="left" w:pos="1134"/>
        </w:tabs>
        <w:spacing w:before="120" w:after="120" w:line="276" w:lineRule="auto"/>
        <w:ind w:firstLine="851"/>
        <w:jc w:val="both"/>
        <w:rPr>
          <w:sz w:val="28"/>
          <w:szCs w:val="28"/>
          <w:lang w:eastAsia="ar-SA"/>
        </w:rPr>
      </w:pPr>
      <w:r w:rsidRPr="0093769C">
        <w:rPr>
          <w:sz w:val="28"/>
          <w:szCs w:val="28"/>
          <w:lang w:eastAsia="ar-SA"/>
        </w:rPr>
        <w:t>Инфляция на потребительском рынке республики сложилась на уровне 102,4% в 2019 году по отношению к 2018 году. На темп инфляции наибольшее влияние оказ</w:t>
      </w:r>
      <w:r w:rsidR="0078710F" w:rsidRPr="0093769C">
        <w:rPr>
          <w:sz w:val="28"/>
          <w:szCs w:val="28"/>
          <w:lang w:eastAsia="ar-SA"/>
        </w:rPr>
        <w:t xml:space="preserve">али </w:t>
      </w:r>
      <w:r w:rsidRPr="0093769C">
        <w:rPr>
          <w:sz w:val="28"/>
          <w:szCs w:val="28"/>
          <w:lang w:eastAsia="ar-SA"/>
        </w:rPr>
        <w:t>увеличение цен на непродовольственные товары</w:t>
      </w:r>
      <w:r w:rsidR="0078710F" w:rsidRPr="0093769C">
        <w:rPr>
          <w:sz w:val="28"/>
          <w:szCs w:val="28"/>
          <w:lang w:eastAsia="ar-SA"/>
        </w:rPr>
        <w:t xml:space="preserve"> (</w:t>
      </w:r>
      <w:r w:rsidRPr="0093769C">
        <w:rPr>
          <w:sz w:val="28"/>
          <w:szCs w:val="28"/>
          <w:lang w:eastAsia="ar-SA"/>
        </w:rPr>
        <w:t>102,3%</w:t>
      </w:r>
      <w:r w:rsidR="0078710F" w:rsidRPr="0093769C">
        <w:rPr>
          <w:sz w:val="28"/>
          <w:szCs w:val="28"/>
          <w:lang w:eastAsia="ar-SA"/>
        </w:rPr>
        <w:t>)</w:t>
      </w:r>
      <w:r w:rsidRPr="0093769C">
        <w:rPr>
          <w:sz w:val="28"/>
          <w:szCs w:val="28"/>
          <w:lang w:eastAsia="ar-SA"/>
        </w:rPr>
        <w:t xml:space="preserve">, увеличение цен на услуги </w:t>
      </w:r>
      <w:r w:rsidR="0078710F" w:rsidRPr="0093769C">
        <w:rPr>
          <w:sz w:val="28"/>
          <w:szCs w:val="28"/>
          <w:lang w:eastAsia="ar-SA"/>
        </w:rPr>
        <w:t>(</w:t>
      </w:r>
      <w:r w:rsidRPr="0093769C">
        <w:rPr>
          <w:sz w:val="28"/>
          <w:szCs w:val="28"/>
          <w:lang w:eastAsia="ar-SA"/>
        </w:rPr>
        <w:t>103,3%</w:t>
      </w:r>
      <w:r w:rsidR="0078710F" w:rsidRPr="0093769C">
        <w:rPr>
          <w:sz w:val="28"/>
          <w:szCs w:val="28"/>
          <w:lang w:eastAsia="ar-SA"/>
        </w:rPr>
        <w:t>)</w:t>
      </w:r>
      <w:r w:rsidRPr="0093769C">
        <w:rPr>
          <w:sz w:val="28"/>
          <w:szCs w:val="28"/>
          <w:lang w:eastAsia="ar-SA"/>
        </w:rPr>
        <w:t>.</w:t>
      </w:r>
    </w:p>
    <w:p w:rsidR="003E76D7" w:rsidRPr="0093769C" w:rsidRDefault="003E76D7" w:rsidP="00681AB2">
      <w:pPr>
        <w:tabs>
          <w:tab w:val="left" w:pos="1134"/>
        </w:tabs>
        <w:spacing w:before="120" w:after="120" w:line="276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93769C">
        <w:rPr>
          <w:color w:val="000000"/>
          <w:sz w:val="28"/>
          <w:szCs w:val="28"/>
          <w:lang w:eastAsia="ar-SA"/>
        </w:rPr>
        <w:t xml:space="preserve">Показатель </w:t>
      </w:r>
      <w:r w:rsidRPr="0093769C">
        <w:rPr>
          <w:b/>
          <w:color w:val="000000"/>
          <w:sz w:val="28"/>
          <w:szCs w:val="28"/>
          <w:lang w:eastAsia="ar-SA"/>
        </w:rPr>
        <w:t>«Индекс промышленного производства»</w:t>
      </w:r>
      <w:r w:rsidRPr="0093769C">
        <w:rPr>
          <w:color w:val="000000"/>
          <w:sz w:val="28"/>
          <w:szCs w:val="28"/>
          <w:lang w:eastAsia="ar-SA"/>
        </w:rPr>
        <w:t xml:space="preserve"> </w:t>
      </w:r>
      <w:r w:rsidR="00A9363E" w:rsidRPr="0093769C">
        <w:rPr>
          <w:color w:val="000000"/>
          <w:sz w:val="28"/>
          <w:szCs w:val="28"/>
          <w:lang w:eastAsia="ar-SA"/>
        </w:rPr>
        <w:t xml:space="preserve">выше </w:t>
      </w:r>
      <w:r w:rsidRPr="0093769C">
        <w:rPr>
          <w:color w:val="000000"/>
          <w:sz w:val="28"/>
          <w:szCs w:val="28"/>
          <w:lang w:eastAsia="ar-SA"/>
        </w:rPr>
        <w:t>прогнозн</w:t>
      </w:r>
      <w:r w:rsidR="00A9363E" w:rsidRPr="0093769C">
        <w:rPr>
          <w:color w:val="000000"/>
          <w:sz w:val="28"/>
          <w:szCs w:val="28"/>
          <w:lang w:eastAsia="ar-SA"/>
        </w:rPr>
        <w:t xml:space="preserve">ого </w:t>
      </w:r>
      <w:r w:rsidRPr="0093769C">
        <w:rPr>
          <w:color w:val="000000"/>
          <w:sz w:val="28"/>
          <w:szCs w:val="28"/>
          <w:lang w:eastAsia="ar-SA"/>
        </w:rPr>
        <w:t>значени</w:t>
      </w:r>
      <w:r w:rsidR="00A9363E" w:rsidRPr="0093769C">
        <w:rPr>
          <w:color w:val="000000"/>
          <w:sz w:val="28"/>
          <w:szCs w:val="28"/>
          <w:lang w:eastAsia="ar-SA"/>
        </w:rPr>
        <w:t>я</w:t>
      </w:r>
      <w:r w:rsidRPr="0093769C">
        <w:rPr>
          <w:color w:val="000000"/>
          <w:sz w:val="28"/>
          <w:szCs w:val="28"/>
          <w:lang w:eastAsia="ar-SA"/>
        </w:rPr>
        <w:t xml:space="preserve"> на </w:t>
      </w:r>
      <w:r w:rsidR="007B75F9" w:rsidRPr="0093769C">
        <w:rPr>
          <w:color w:val="000000"/>
          <w:sz w:val="28"/>
          <w:szCs w:val="28"/>
          <w:lang w:eastAsia="ar-SA"/>
        </w:rPr>
        <w:t>6,7</w:t>
      </w:r>
      <w:r w:rsidRPr="0093769C">
        <w:rPr>
          <w:color w:val="000000"/>
          <w:sz w:val="28"/>
          <w:szCs w:val="28"/>
          <w:lang w:eastAsia="ar-SA"/>
        </w:rPr>
        <w:t xml:space="preserve"> процентных пункта (</w:t>
      </w:r>
      <w:r w:rsidR="0078710F" w:rsidRPr="0093769C">
        <w:rPr>
          <w:color w:val="000000"/>
          <w:sz w:val="28"/>
          <w:szCs w:val="28"/>
          <w:lang w:eastAsia="ar-SA"/>
        </w:rPr>
        <w:t xml:space="preserve">прогноз – </w:t>
      </w:r>
      <w:r w:rsidRPr="0093769C">
        <w:rPr>
          <w:color w:val="000000"/>
          <w:sz w:val="28"/>
          <w:szCs w:val="28"/>
          <w:lang w:eastAsia="ar-SA"/>
        </w:rPr>
        <w:t>95,3%</w:t>
      </w:r>
      <w:r w:rsidR="0078710F" w:rsidRPr="0093769C">
        <w:rPr>
          <w:color w:val="000000"/>
          <w:sz w:val="28"/>
          <w:szCs w:val="28"/>
          <w:lang w:eastAsia="ar-SA"/>
        </w:rPr>
        <w:t xml:space="preserve">, факт – </w:t>
      </w:r>
      <w:r w:rsidR="007B75F9" w:rsidRPr="0093769C">
        <w:rPr>
          <w:color w:val="000000"/>
          <w:sz w:val="28"/>
          <w:szCs w:val="28"/>
          <w:lang w:eastAsia="ar-SA"/>
        </w:rPr>
        <w:t>102,0</w:t>
      </w:r>
      <w:r w:rsidRPr="0093769C">
        <w:rPr>
          <w:color w:val="000000"/>
          <w:sz w:val="28"/>
          <w:szCs w:val="28"/>
          <w:lang w:eastAsia="ar-SA"/>
        </w:rPr>
        <w:t>%).</w:t>
      </w:r>
    </w:p>
    <w:p w:rsidR="003E76D7" w:rsidRPr="0093769C" w:rsidRDefault="003E76D7" w:rsidP="00681AB2">
      <w:pPr>
        <w:tabs>
          <w:tab w:val="left" w:pos="1134"/>
        </w:tabs>
        <w:spacing w:before="120" w:after="120" w:line="276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93769C">
        <w:rPr>
          <w:color w:val="000000"/>
          <w:sz w:val="28"/>
          <w:szCs w:val="28"/>
          <w:lang w:eastAsia="ar-SA"/>
        </w:rPr>
        <w:t xml:space="preserve">Индекс промышленного производства по добыче сырой нефти и природного газа </w:t>
      </w:r>
      <w:r w:rsidR="00A9363E" w:rsidRPr="0093769C">
        <w:rPr>
          <w:color w:val="000000"/>
          <w:sz w:val="28"/>
          <w:szCs w:val="28"/>
          <w:lang w:eastAsia="ar-SA"/>
        </w:rPr>
        <w:t xml:space="preserve">выше </w:t>
      </w:r>
      <w:r w:rsidRPr="0093769C">
        <w:rPr>
          <w:color w:val="000000"/>
          <w:sz w:val="28"/>
          <w:szCs w:val="28"/>
          <w:lang w:eastAsia="ar-SA"/>
        </w:rPr>
        <w:t>прогнозн</w:t>
      </w:r>
      <w:r w:rsidR="00A9363E" w:rsidRPr="0093769C">
        <w:rPr>
          <w:color w:val="000000"/>
          <w:sz w:val="28"/>
          <w:szCs w:val="28"/>
          <w:lang w:eastAsia="ar-SA"/>
        </w:rPr>
        <w:t>ого</w:t>
      </w:r>
      <w:r w:rsidRPr="0093769C">
        <w:rPr>
          <w:color w:val="000000"/>
          <w:sz w:val="28"/>
          <w:szCs w:val="28"/>
          <w:lang w:eastAsia="ar-SA"/>
        </w:rPr>
        <w:t xml:space="preserve"> значени</w:t>
      </w:r>
      <w:r w:rsidR="00A9363E" w:rsidRPr="0093769C">
        <w:rPr>
          <w:color w:val="000000"/>
          <w:sz w:val="28"/>
          <w:szCs w:val="28"/>
          <w:lang w:eastAsia="ar-SA"/>
        </w:rPr>
        <w:t>я</w:t>
      </w:r>
      <w:r w:rsidRPr="0093769C">
        <w:rPr>
          <w:color w:val="000000"/>
          <w:sz w:val="28"/>
          <w:szCs w:val="28"/>
          <w:lang w:eastAsia="ar-SA"/>
        </w:rPr>
        <w:t xml:space="preserve"> на 4,1 процентных пункта (</w:t>
      </w:r>
      <w:r w:rsidR="00A9363E" w:rsidRPr="0093769C">
        <w:rPr>
          <w:color w:val="000000"/>
          <w:sz w:val="28"/>
          <w:szCs w:val="28"/>
          <w:lang w:eastAsia="ar-SA"/>
        </w:rPr>
        <w:t>прогноз –</w:t>
      </w:r>
      <w:r w:rsidRPr="0093769C">
        <w:rPr>
          <w:color w:val="000000"/>
          <w:sz w:val="28"/>
          <w:szCs w:val="28"/>
          <w:lang w:eastAsia="ar-SA"/>
        </w:rPr>
        <w:t>95,3</w:t>
      </w:r>
      <w:r w:rsidR="00A9363E" w:rsidRPr="0093769C">
        <w:rPr>
          <w:color w:val="000000"/>
          <w:sz w:val="28"/>
          <w:szCs w:val="28"/>
          <w:lang w:eastAsia="ar-SA"/>
        </w:rPr>
        <w:t xml:space="preserve"> факт – </w:t>
      </w:r>
      <w:r w:rsidRPr="0093769C">
        <w:rPr>
          <w:color w:val="000000"/>
          <w:sz w:val="28"/>
          <w:szCs w:val="28"/>
          <w:lang w:eastAsia="ar-SA"/>
        </w:rPr>
        <w:t>99,4%). За 2019 год добыто 10 482 тысячи тонн нефти, это на 432 тысячи тонн нефти больше прогноз</w:t>
      </w:r>
      <w:r w:rsidR="00A9363E" w:rsidRPr="0093769C">
        <w:rPr>
          <w:color w:val="000000"/>
          <w:sz w:val="28"/>
          <w:szCs w:val="28"/>
          <w:lang w:eastAsia="ar-SA"/>
        </w:rPr>
        <w:t>а</w:t>
      </w:r>
      <w:r w:rsidRPr="0093769C">
        <w:rPr>
          <w:color w:val="000000"/>
          <w:sz w:val="28"/>
          <w:szCs w:val="28"/>
          <w:lang w:eastAsia="ar-SA"/>
        </w:rPr>
        <w:t>.</w:t>
      </w:r>
    </w:p>
    <w:p w:rsidR="00A9363E" w:rsidRPr="0093769C" w:rsidRDefault="003E76D7" w:rsidP="00681AB2">
      <w:pPr>
        <w:tabs>
          <w:tab w:val="left" w:pos="1134"/>
        </w:tabs>
        <w:spacing w:before="120" w:after="120" w:line="276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93769C">
        <w:rPr>
          <w:color w:val="000000"/>
          <w:sz w:val="28"/>
          <w:szCs w:val="28"/>
          <w:lang w:eastAsia="ar-SA"/>
        </w:rPr>
        <w:t xml:space="preserve">Индекс промышленного производства по обрабатывающим производствам </w:t>
      </w:r>
      <w:r w:rsidR="00A9363E" w:rsidRPr="0093769C">
        <w:rPr>
          <w:color w:val="000000"/>
          <w:sz w:val="28"/>
          <w:szCs w:val="28"/>
          <w:lang w:eastAsia="ar-SA"/>
        </w:rPr>
        <w:t xml:space="preserve">выше прогнозного значения </w:t>
      </w:r>
      <w:r w:rsidRPr="0093769C">
        <w:rPr>
          <w:color w:val="000000"/>
          <w:sz w:val="28"/>
          <w:szCs w:val="28"/>
          <w:lang w:eastAsia="ar-SA"/>
        </w:rPr>
        <w:t>на 14,7 процентных пункта (</w:t>
      </w:r>
      <w:r w:rsidR="00A9363E" w:rsidRPr="0093769C">
        <w:rPr>
          <w:color w:val="000000"/>
          <w:sz w:val="28"/>
          <w:szCs w:val="28"/>
          <w:lang w:eastAsia="ar-SA"/>
        </w:rPr>
        <w:t xml:space="preserve">прогноз – </w:t>
      </w:r>
      <w:r w:rsidRPr="0093769C">
        <w:rPr>
          <w:color w:val="000000"/>
          <w:sz w:val="28"/>
          <w:szCs w:val="28"/>
          <w:lang w:eastAsia="ar-SA"/>
        </w:rPr>
        <w:t>92,1%</w:t>
      </w:r>
      <w:r w:rsidR="00A9363E" w:rsidRPr="0093769C">
        <w:rPr>
          <w:color w:val="000000"/>
          <w:sz w:val="28"/>
          <w:szCs w:val="28"/>
          <w:lang w:eastAsia="ar-SA"/>
        </w:rPr>
        <w:t xml:space="preserve">, факт – </w:t>
      </w:r>
      <w:r w:rsidRPr="0093769C">
        <w:rPr>
          <w:color w:val="000000"/>
          <w:sz w:val="28"/>
          <w:szCs w:val="28"/>
          <w:lang w:eastAsia="ar-SA"/>
        </w:rPr>
        <w:t xml:space="preserve"> </w:t>
      </w:r>
      <w:r w:rsidR="00A9363E" w:rsidRPr="0093769C">
        <w:rPr>
          <w:color w:val="000000"/>
          <w:sz w:val="28"/>
          <w:szCs w:val="28"/>
          <w:lang w:eastAsia="ar-SA"/>
        </w:rPr>
        <w:t>106,8%).</w:t>
      </w:r>
    </w:p>
    <w:p w:rsidR="003E76D7" w:rsidRPr="0093769C" w:rsidRDefault="003E76D7" w:rsidP="00681AB2">
      <w:pPr>
        <w:suppressAutoHyphens/>
        <w:spacing w:before="120" w:after="120" w:line="276" w:lineRule="auto"/>
        <w:ind w:firstLine="851"/>
        <w:jc w:val="both"/>
        <w:rPr>
          <w:sz w:val="28"/>
          <w:szCs w:val="28"/>
          <w:lang w:eastAsia="ar-SA"/>
        </w:rPr>
      </w:pPr>
      <w:r w:rsidRPr="0093769C">
        <w:rPr>
          <w:color w:val="000000"/>
          <w:sz w:val="28"/>
          <w:szCs w:val="28"/>
          <w:lang w:eastAsia="ar-SA"/>
        </w:rPr>
        <w:t xml:space="preserve">Существенное влияние на формирование </w:t>
      </w:r>
      <w:r w:rsidR="00182469" w:rsidRPr="0093769C">
        <w:rPr>
          <w:color w:val="000000"/>
          <w:sz w:val="28"/>
          <w:szCs w:val="28"/>
          <w:lang w:eastAsia="ar-SA"/>
        </w:rPr>
        <w:t xml:space="preserve">индекса промышленного производства </w:t>
      </w:r>
      <w:r w:rsidRPr="0093769C">
        <w:rPr>
          <w:color w:val="000000"/>
          <w:sz w:val="28"/>
          <w:szCs w:val="28"/>
          <w:lang w:eastAsia="ar-SA"/>
        </w:rPr>
        <w:t>оказало увеличение производства</w:t>
      </w:r>
      <w:r w:rsidRPr="0093769C">
        <w:rPr>
          <w:sz w:val="28"/>
          <w:szCs w:val="28"/>
          <w:lang w:eastAsia="ar-SA"/>
        </w:rPr>
        <w:t xml:space="preserve"> готовых металлических изделий (индекс промышленного производства – 106,2%), производства машин и оборудования (121,8%), металлургического производства (116,6%), производства прочей неметаллической минеральной продукции (112,2%), производства электрического оборудования (117,7%), производства химических веществ и химических продуктов (111,9%).</w:t>
      </w: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Продукция сельского хозяйства</w:t>
      </w:r>
    </w:p>
    <w:p w:rsidR="00925089" w:rsidRPr="0093769C" w:rsidRDefault="00925089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Согласно прогнозу социально-экономического развития показатель  «Продукция сельского хозяйства» запланирован в сумме 67 820 млн. рублей. Фактическое значение за 2019 год составило 67 723 млн. рублей. </w:t>
      </w:r>
    </w:p>
    <w:p w:rsidR="00F26D04" w:rsidRPr="0093769C" w:rsidRDefault="00925089" w:rsidP="00681AB2">
      <w:pPr>
        <w:tabs>
          <w:tab w:val="left" w:pos="1134"/>
        </w:tabs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Показатель продукции сельского хозяйства в стоимостном выражении не выполнен по причине невыполнения запланированных объемов производства продукции растениеводства (картофель, овощи, лен). На территории Удмуртской Республики </w:t>
      </w:r>
      <w:r w:rsidR="002B4683" w:rsidRPr="0093769C">
        <w:rPr>
          <w:sz w:val="28"/>
          <w:szCs w:val="28"/>
        </w:rPr>
        <w:t xml:space="preserve">распоряжением Главы Удмуртской Республики от 14.08.2019 № 190-РГ </w:t>
      </w:r>
      <w:r w:rsidRPr="0093769C">
        <w:rPr>
          <w:sz w:val="28"/>
          <w:szCs w:val="28"/>
        </w:rPr>
        <w:t xml:space="preserve">был введен режим ЧС. </w:t>
      </w:r>
    </w:p>
    <w:p w:rsidR="002B4683" w:rsidRPr="0093769C" w:rsidRDefault="00925089" w:rsidP="00681AB2">
      <w:pPr>
        <w:tabs>
          <w:tab w:val="left" w:pos="1134"/>
        </w:tabs>
        <w:spacing w:before="120" w:after="120" w:line="276" w:lineRule="auto"/>
        <w:ind w:firstLine="851"/>
        <w:jc w:val="both"/>
        <w:rPr>
          <w:color w:val="000000"/>
          <w:sz w:val="28"/>
          <w:szCs w:val="28"/>
          <w:lang w:eastAsia="ar-SA"/>
        </w:rPr>
      </w:pPr>
      <w:r w:rsidRPr="0093769C">
        <w:rPr>
          <w:sz w:val="28"/>
          <w:szCs w:val="28"/>
        </w:rPr>
        <w:lastRenderedPageBreak/>
        <w:t xml:space="preserve">Индекс производства продукции сельского хозяйства в сопоставимых ценах </w:t>
      </w:r>
      <w:r w:rsidR="002B4683" w:rsidRPr="0093769C">
        <w:rPr>
          <w:sz w:val="28"/>
          <w:szCs w:val="28"/>
        </w:rPr>
        <w:t xml:space="preserve">выше прогноза на </w:t>
      </w:r>
      <w:r w:rsidRPr="0093769C">
        <w:rPr>
          <w:sz w:val="28"/>
          <w:szCs w:val="28"/>
        </w:rPr>
        <w:t>0,1%</w:t>
      </w:r>
      <w:r w:rsidR="002B4683" w:rsidRPr="0093769C">
        <w:rPr>
          <w:sz w:val="28"/>
          <w:szCs w:val="28"/>
        </w:rPr>
        <w:t xml:space="preserve"> </w:t>
      </w:r>
      <w:r w:rsidR="002B4683" w:rsidRPr="0093769C">
        <w:rPr>
          <w:color w:val="000000"/>
          <w:sz w:val="28"/>
          <w:szCs w:val="28"/>
          <w:lang w:eastAsia="ar-SA"/>
        </w:rPr>
        <w:t>(прогноз – 100,8%, факт –  100,9%).</w:t>
      </w:r>
    </w:p>
    <w:p w:rsidR="00925089" w:rsidRPr="0093769C" w:rsidRDefault="00925089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</w:p>
    <w:p w:rsidR="00473FA2" w:rsidRPr="0093769C" w:rsidRDefault="00473FA2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Инвестиции в основной капитал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По предварительной оценке объем инвестиций в основной капитал в 2019 году достиг 100 516 млн. рублей, или 118,9% к прогнозному значению. Вместе с тем, темп роста в сопоставимых ценах составил 97,8%, что на 2,8 п.п. ниже прогнозного значения. На данную динамику повлияло снижение инвестиционной активности организаций обрабатывающей промышленности, электроэнергетики, торговли, информации и связи, деятельности по операциям с недвижимым имуществом, образования, в большинстве случаев связанное со снижением прибыли организаций.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 отчетном периоде получали льготы по налогу на прибыль и льготы по налогу на имущество 6 организаций по результатам проведенных конкурсов в 2014-2016 годах. В соответствии с отчетами отраслевых министерств за 9 месяцев 2019 года сумма предоставленных налоговых льгот   составила 25,97 млн. рублей (в том числе по налогу на прибыль – 16,25 млн. рублей, по налогу на имущество – 9,72 млн. рублей). При этом объем налоговых отчислений в консолидированный бюджет Удмуртской Республики составил 1340,56 млн. рублей, объем инвестиций от реализации проектов составил – 81,18 млн. рублей, создано свыше 70 новых рабочих мест. В 2019 году 3 инвесторам для реализации 4 инвестиционных проектов (совокупный объем инвестиций – 1090 млн. руб.) предоставлены льготные условия пользования земельными участками.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Для реализации 15 инвестиционных проектов инвесторам в соответствии с распоряжениями Главы Удмуртской Республики предоставлены 17 земельных участков в аренду без проведения торгов. 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Предоставляется государственная поддержка резидентам территорий опережающего социально-экономического развития, созданных на территории Удмуртской Республики, в виде налоговых льгот по налогу на прибыль и налогу на имущество организаций, а также в виде преимущества в отношении инвестиционного проекта, реализуемого (планируемого к реализации) резидентом ТОСЭР, при определении его соответствия критериям в целях предоставления земельного участка в аренду без проведения торгов.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В настоящее время на территории ТОСЭР «Сарапул» зарегистрированы 16 резидентов, из них 10 в 2019 году. В результате реализации </w:t>
      </w:r>
      <w:r w:rsidRPr="0093769C">
        <w:rPr>
          <w:sz w:val="28"/>
          <w:szCs w:val="28"/>
        </w:rPr>
        <w:lastRenderedPageBreak/>
        <w:t xml:space="preserve">инвестиционных проектов по состоянию на 1 января 2019 года резидентами создано 301 рабочее место, в т.ч. в 2019 году – 226, освоено инвестиций – 187,29 млн. рублей, в т.ч. в </w:t>
      </w:r>
      <w:r w:rsidR="00AB42FC" w:rsidRPr="0093769C">
        <w:rPr>
          <w:sz w:val="28"/>
          <w:szCs w:val="28"/>
        </w:rPr>
        <w:t>2019 году – 143,54 млн. рублей.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 феврале 2019 года статус ТОСЭР получил город Глазов. Зарегистрировано 2 резидента, в результате деятельности которых на 1 января 2020 года создано 6 рабочих мест, вложено 0,19 млн. рублей инвестиций.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 2019 году расширены перечни видов экономической деятельности, которые возможно осуществлять при реализации инвестиционных проектов в рамках ТОСЭР «Глазов» (рыбоводство и рыболовство; производство бумаги и бумажных изделий, производство химических веществ и химических продуктов, металлургическое производство).</w:t>
      </w:r>
    </w:p>
    <w:p w:rsidR="00B622D5" w:rsidRPr="0093769C" w:rsidRDefault="00B622D5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Продолжается взаимодействие с некоммерческой организацией «Фонд развития моногородов». Общая стоимость объектов инфраструктуры, построенных и введенных в эксплуатацию, в 2019 году составила 186,24 млн. рублей (средства Фонда развития моногородов – 146,79 млн. руб</w:t>
      </w:r>
      <w:r w:rsidR="0005319A" w:rsidRPr="0093769C">
        <w:rPr>
          <w:sz w:val="28"/>
          <w:szCs w:val="28"/>
        </w:rPr>
        <w:t>лей</w:t>
      </w:r>
      <w:r w:rsidRPr="0093769C">
        <w:rPr>
          <w:sz w:val="28"/>
          <w:szCs w:val="28"/>
        </w:rPr>
        <w:t>, средства бюджета Удмуртской Республики – 39,45 млн. руб</w:t>
      </w:r>
      <w:r w:rsidR="0005319A" w:rsidRPr="0093769C">
        <w:rPr>
          <w:sz w:val="28"/>
          <w:szCs w:val="28"/>
        </w:rPr>
        <w:t>лей</w:t>
      </w:r>
      <w:r w:rsidRPr="0093769C">
        <w:rPr>
          <w:sz w:val="28"/>
          <w:szCs w:val="28"/>
        </w:rPr>
        <w:t xml:space="preserve">). </w:t>
      </w:r>
    </w:p>
    <w:p w:rsidR="00924063" w:rsidRPr="0093769C" w:rsidRDefault="00924063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Объем работ, выполненных по виду экономической деятельности «Строительство»</w:t>
      </w:r>
    </w:p>
    <w:p w:rsidR="00017C84" w:rsidRPr="0093769C" w:rsidRDefault="008734E7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 201</w:t>
      </w:r>
      <w:r w:rsidR="000C1DEF" w:rsidRPr="0093769C">
        <w:rPr>
          <w:sz w:val="28"/>
          <w:szCs w:val="28"/>
        </w:rPr>
        <w:t>9</w:t>
      </w:r>
      <w:r w:rsidRPr="0093769C">
        <w:rPr>
          <w:sz w:val="28"/>
          <w:szCs w:val="28"/>
        </w:rPr>
        <w:t xml:space="preserve"> году объем работ, выполненных по виду экономической деятельности «Строительство», </w:t>
      </w:r>
      <w:r w:rsidR="00F5555F" w:rsidRPr="0093769C">
        <w:rPr>
          <w:sz w:val="28"/>
          <w:szCs w:val="28"/>
        </w:rPr>
        <w:t xml:space="preserve">по предварительным данным </w:t>
      </w:r>
      <w:r w:rsidRPr="0093769C">
        <w:rPr>
          <w:sz w:val="28"/>
          <w:szCs w:val="28"/>
        </w:rPr>
        <w:t xml:space="preserve">составил </w:t>
      </w:r>
      <w:r w:rsidR="0093769C">
        <w:rPr>
          <w:sz w:val="28"/>
          <w:szCs w:val="28"/>
        </w:rPr>
        <w:t>38,4</w:t>
      </w:r>
      <w:r w:rsidR="000C1DEF" w:rsidRPr="0093769C">
        <w:rPr>
          <w:sz w:val="28"/>
          <w:szCs w:val="28"/>
        </w:rPr>
        <w:t xml:space="preserve"> </w:t>
      </w:r>
      <w:r w:rsidRPr="0093769C">
        <w:rPr>
          <w:sz w:val="28"/>
          <w:szCs w:val="28"/>
        </w:rPr>
        <w:t xml:space="preserve">млрд. рублей </w:t>
      </w:r>
      <w:r w:rsidR="00AB42FC" w:rsidRPr="0093769C">
        <w:rPr>
          <w:sz w:val="28"/>
          <w:szCs w:val="28"/>
        </w:rPr>
        <w:t>(</w:t>
      </w:r>
      <w:r w:rsidRPr="0093769C">
        <w:rPr>
          <w:sz w:val="28"/>
          <w:szCs w:val="28"/>
        </w:rPr>
        <w:t>прогноз</w:t>
      </w:r>
      <w:r w:rsidR="00AB42FC" w:rsidRPr="0093769C">
        <w:rPr>
          <w:sz w:val="28"/>
          <w:szCs w:val="28"/>
        </w:rPr>
        <w:t xml:space="preserve"> – </w:t>
      </w:r>
      <w:r w:rsidR="000C1DEF" w:rsidRPr="0093769C">
        <w:rPr>
          <w:sz w:val="28"/>
          <w:szCs w:val="28"/>
        </w:rPr>
        <w:t>37,5</w:t>
      </w:r>
      <w:r w:rsidRPr="0093769C">
        <w:rPr>
          <w:sz w:val="28"/>
          <w:szCs w:val="28"/>
        </w:rPr>
        <w:t xml:space="preserve"> млрд. рублей</w:t>
      </w:r>
      <w:r w:rsidR="00AB42FC" w:rsidRPr="0093769C">
        <w:rPr>
          <w:sz w:val="28"/>
          <w:szCs w:val="28"/>
        </w:rPr>
        <w:t xml:space="preserve">) и снизился на </w:t>
      </w:r>
      <w:r w:rsidR="0093769C">
        <w:rPr>
          <w:sz w:val="28"/>
          <w:szCs w:val="28"/>
        </w:rPr>
        <w:t>11,6</w:t>
      </w:r>
      <w:r w:rsidR="00F5555F" w:rsidRPr="0093769C">
        <w:rPr>
          <w:sz w:val="28"/>
          <w:szCs w:val="28"/>
        </w:rPr>
        <w:t xml:space="preserve"> </w:t>
      </w:r>
      <w:r w:rsidR="00AB42FC" w:rsidRPr="0093769C">
        <w:rPr>
          <w:sz w:val="28"/>
          <w:szCs w:val="28"/>
        </w:rPr>
        <w:t>пр</w:t>
      </w:r>
      <w:r w:rsidR="00017C84" w:rsidRPr="0093769C">
        <w:rPr>
          <w:sz w:val="28"/>
          <w:szCs w:val="28"/>
        </w:rPr>
        <w:t>о</w:t>
      </w:r>
      <w:r w:rsidR="00AB42FC" w:rsidRPr="0093769C">
        <w:rPr>
          <w:sz w:val="28"/>
          <w:szCs w:val="28"/>
        </w:rPr>
        <w:t>ц</w:t>
      </w:r>
      <w:r w:rsidR="00017C84" w:rsidRPr="0093769C">
        <w:rPr>
          <w:sz w:val="28"/>
          <w:szCs w:val="28"/>
        </w:rPr>
        <w:t>ен</w:t>
      </w:r>
      <w:r w:rsidR="00AB42FC" w:rsidRPr="0093769C">
        <w:rPr>
          <w:sz w:val="28"/>
          <w:szCs w:val="28"/>
        </w:rPr>
        <w:t>т</w:t>
      </w:r>
      <w:bookmarkStart w:id="0" w:name="_GoBack"/>
      <w:bookmarkEnd w:id="0"/>
      <w:r w:rsidR="00F5555F" w:rsidRPr="0093769C">
        <w:rPr>
          <w:sz w:val="28"/>
          <w:szCs w:val="28"/>
        </w:rPr>
        <w:t>а</w:t>
      </w:r>
      <w:r w:rsidR="00AB42FC" w:rsidRPr="0093769C">
        <w:rPr>
          <w:sz w:val="28"/>
          <w:szCs w:val="28"/>
        </w:rPr>
        <w:t xml:space="preserve"> к уровню 2018 года. </w:t>
      </w:r>
      <w:r w:rsidR="00017C84" w:rsidRPr="0093769C">
        <w:rPr>
          <w:sz w:val="28"/>
          <w:szCs w:val="28"/>
        </w:rPr>
        <w:t xml:space="preserve">Это </w:t>
      </w:r>
      <w:r w:rsidRPr="0093769C">
        <w:rPr>
          <w:sz w:val="28"/>
          <w:szCs w:val="28"/>
        </w:rPr>
        <w:t xml:space="preserve">связано со </w:t>
      </w:r>
      <w:r w:rsidR="000C1DEF" w:rsidRPr="0093769C">
        <w:rPr>
          <w:sz w:val="28"/>
          <w:szCs w:val="28"/>
        </w:rPr>
        <w:t>снижение</w:t>
      </w:r>
      <w:r w:rsidR="00AB42FC" w:rsidRPr="0093769C">
        <w:rPr>
          <w:sz w:val="28"/>
          <w:szCs w:val="28"/>
        </w:rPr>
        <w:t>м</w:t>
      </w:r>
      <w:r w:rsidR="000C1DEF" w:rsidRPr="0093769C">
        <w:rPr>
          <w:sz w:val="28"/>
          <w:szCs w:val="28"/>
        </w:rPr>
        <w:t xml:space="preserve"> строительства крупных промышленных объектов и завершением программ по модернизации крупных предприятий. </w:t>
      </w:r>
    </w:p>
    <w:p w:rsidR="007D1DE0" w:rsidRPr="0093769C" w:rsidRDefault="007D1DE0" w:rsidP="00681AB2">
      <w:pPr>
        <w:spacing w:before="120" w:after="120" w:line="276" w:lineRule="auto"/>
        <w:ind w:right="140" w:firstLine="851"/>
        <w:jc w:val="both"/>
        <w:rPr>
          <w:rFonts w:eastAsiaTheme="minorHAnsi"/>
          <w:sz w:val="28"/>
          <w:szCs w:val="28"/>
          <w:lang w:eastAsia="en-US"/>
        </w:rPr>
      </w:pPr>
      <w:r w:rsidRPr="0093769C">
        <w:rPr>
          <w:rFonts w:eastAsiaTheme="minorHAnsi"/>
          <w:sz w:val="28"/>
          <w:szCs w:val="28"/>
          <w:lang w:eastAsia="en-US"/>
        </w:rPr>
        <w:t>В 201</w:t>
      </w:r>
      <w:r w:rsidR="000C1DEF" w:rsidRPr="0093769C">
        <w:rPr>
          <w:rFonts w:eastAsiaTheme="minorHAnsi"/>
          <w:sz w:val="28"/>
          <w:szCs w:val="28"/>
          <w:lang w:eastAsia="en-US"/>
        </w:rPr>
        <w:t>9</w:t>
      </w:r>
      <w:r w:rsidRPr="0093769C">
        <w:rPr>
          <w:rFonts w:eastAsiaTheme="minorHAnsi"/>
          <w:sz w:val="28"/>
          <w:szCs w:val="28"/>
          <w:lang w:eastAsia="en-US"/>
        </w:rPr>
        <w:t xml:space="preserve"> году введено в действие </w:t>
      </w:r>
      <w:r w:rsidR="000C1DEF" w:rsidRPr="0093769C">
        <w:rPr>
          <w:rFonts w:eastAsiaTheme="minorHAnsi"/>
          <w:sz w:val="28"/>
          <w:szCs w:val="28"/>
          <w:lang w:eastAsia="en-US"/>
        </w:rPr>
        <w:t>759,9</w:t>
      </w:r>
      <w:r w:rsidRPr="0093769C">
        <w:rPr>
          <w:rFonts w:eastAsiaTheme="minorHAnsi"/>
          <w:sz w:val="28"/>
          <w:szCs w:val="28"/>
          <w:lang w:eastAsia="en-US"/>
        </w:rPr>
        <w:t xml:space="preserve"> тыс. кв. м жилых домов, что на </w:t>
      </w:r>
      <w:r w:rsidR="000C1DEF" w:rsidRPr="0093769C">
        <w:rPr>
          <w:rFonts w:eastAsiaTheme="minorHAnsi"/>
          <w:sz w:val="28"/>
          <w:szCs w:val="28"/>
          <w:lang w:eastAsia="en-US"/>
        </w:rPr>
        <w:t>1</w:t>
      </w:r>
      <w:r w:rsidRPr="0093769C">
        <w:rPr>
          <w:rFonts w:eastAsiaTheme="minorHAnsi"/>
          <w:sz w:val="28"/>
          <w:szCs w:val="28"/>
          <w:lang w:eastAsia="en-US"/>
        </w:rPr>
        <w:t>5% выше прогнозного значения.</w:t>
      </w:r>
    </w:p>
    <w:p w:rsidR="00E25E37" w:rsidRPr="0093769C" w:rsidRDefault="00E25E37" w:rsidP="00681AB2">
      <w:pPr>
        <w:spacing w:before="120" w:after="120" w:line="276" w:lineRule="auto"/>
        <w:ind w:right="140" w:firstLine="709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Перевыполнение плана по вводу в действие жилых домов произошло за счет перехода начала строительства индивидуальных жилых домов с разрешительного на уведомительный характер (рост по отношению к 2018 году составил 34,3%).</w:t>
      </w:r>
    </w:p>
    <w:p w:rsidR="00C81C4A" w:rsidRPr="0093769C" w:rsidRDefault="00C81C4A" w:rsidP="00681AB2">
      <w:pPr>
        <w:spacing w:before="120" w:after="120" w:line="276" w:lineRule="auto"/>
        <w:ind w:right="140" w:firstLine="851"/>
        <w:jc w:val="both"/>
        <w:rPr>
          <w:rFonts w:eastAsiaTheme="minorHAnsi"/>
          <w:sz w:val="28"/>
          <w:szCs w:val="28"/>
          <w:lang w:eastAsia="en-US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Объем розничного товарооборота</w:t>
      </w:r>
    </w:p>
    <w:p w:rsidR="003E76D7" w:rsidRPr="0093769C" w:rsidRDefault="003E76D7" w:rsidP="00681AB2">
      <w:pPr>
        <w:widowControl w:val="0"/>
        <w:autoSpaceDE w:val="0"/>
        <w:autoSpaceDN w:val="0"/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Прогнозное значение показателя «Объем розничного товарооборота: номинальный объем» составляет 254 550 млн. рублей, фактическое – 256 228 </w:t>
      </w:r>
      <w:r w:rsidRPr="0093769C">
        <w:rPr>
          <w:sz w:val="28"/>
          <w:szCs w:val="28"/>
        </w:rPr>
        <w:lastRenderedPageBreak/>
        <w:t xml:space="preserve">млн. рублей. Отклонение от прогноза незначительное и составило 1 678 млн. рублей, или прирост 0,6 %. </w:t>
      </w:r>
    </w:p>
    <w:p w:rsidR="003E76D7" w:rsidRPr="0093769C" w:rsidRDefault="00017C84" w:rsidP="00681AB2">
      <w:pPr>
        <w:widowControl w:val="0"/>
        <w:autoSpaceDE w:val="0"/>
        <w:autoSpaceDN w:val="0"/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На</w:t>
      </w:r>
      <w:r w:rsidR="003E76D7" w:rsidRPr="0093769C">
        <w:rPr>
          <w:sz w:val="28"/>
          <w:szCs w:val="28"/>
        </w:rPr>
        <w:t xml:space="preserve"> рост оборота розничной торговли в 2019 году повлияли реализованные инвестиционные проекты по строительству и открытию крупных предприятий, в их числе: «Матрица», «Леруа Мерлен», «Лента»</w:t>
      </w:r>
      <w:r w:rsidRPr="0093769C">
        <w:rPr>
          <w:sz w:val="28"/>
          <w:szCs w:val="28"/>
        </w:rPr>
        <w:t>.</w:t>
      </w:r>
      <w:r w:rsidR="003E76D7" w:rsidRPr="0093769C">
        <w:rPr>
          <w:sz w:val="28"/>
          <w:szCs w:val="28"/>
        </w:rPr>
        <w:t xml:space="preserve"> Показатель «темп роста в сопоставимых ценах» </w:t>
      </w:r>
      <w:r w:rsidRPr="0093769C">
        <w:rPr>
          <w:sz w:val="28"/>
          <w:szCs w:val="28"/>
        </w:rPr>
        <w:t xml:space="preserve">ниже </w:t>
      </w:r>
      <w:r w:rsidR="003E76D7" w:rsidRPr="0093769C">
        <w:rPr>
          <w:sz w:val="28"/>
          <w:szCs w:val="28"/>
        </w:rPr>
        <w:t>прогнозн</w:t>
      </w:r>
      <w:r w:rsidRPr="0093769C">
        <w:rPr>
          <w:sz w:val="28"/>
          <w:szCs w:val="28"/>
        </w:rPr>
        <w:t xml:space="preserve">ого </w:t>
      </w:r>
      <w:r w:rsidR="003E76D7" w:rsidRPr="0093769C">
        <w:rPr>
          <w:sz w:val="28"/>
          <w:szCs w:val="28"/>
        </w:rPr>
        <w:t>значени</w:t>
      </w:r>
      <w:r w:rsidRPr="0093769C">
        <w:rPr>
          <w:sz w:val="28"/>
          <w:szCs w:val="28"/>
        </w:rPr>
        <w:t>я</w:t>
      </w:r>
      <w:r w:rsidR="003E76D7" w:rsidRPr="0093769C">
        <w:rPr>
          <w:sz w:val="28"/>
          <w:szCs w:val="28"/>
        </w:rPr>
        <w:t xml:space="preserve"> на 0,9 процентных пункта (</w:t>
      </w:r>
      <w:r w:rsidRPr="0093769C">
        <w:rPr>
          <w:sz w:val="28"/>
          <w:szCs w:val="28"/>
        </w:rPr>
        <w:t xml:space="preserve">прогноз – </w:t>
      </w:r>
      <w:r w:rsidR="003E76D7" w:rsidRPr="0093769C">
        <w:rPr>
          <w:sz w:val="28"/>
          <w:szCs w:val="28"/>
        </w:rPr>
        <w:t>101,5%</w:t>
      </w:r>
      <w:r w:rsidRPr="0093769C">
        <w:rPr>
          <w:sz w:val="28"/>
          <w:szCs w:val="28"/>
        </w:rPr>
        <w:t xml:space="preserve">, факт – </w:t>
      </w:r>
      <w:r w:rsidR="003E76D7" w:rsidRPr="0093769C">
        <w:rPr>
          <w:sz w:val="28"/>
          <w:szCs w:val="28"/>
        </w:rPr>
        <w:t>100,6%</w:t>
      </w:r>
      <w:r w:rsidRPr="0093769C">
        <w:rPr>
          <w:sz w:val="28"/>
          <w:szCs w:val="28"/>
        </w:rPr>
        <w:t>)</w:t>
      </w:r>
      <w:r w:rsidR="00EA61F2" w:rsidRPr="0093769C">
        <w:rPr>
          <w:sz w:val="28"/>
          <w:szCs w:val="28"/>
        </w:rPr>
        <w:t xml:space="preserve">. </w:t>
      </w:r>
      <w:r w:rsidR="003E76D7" w:rsidRPr="0093769C">
        <w:rPr>
          <w:sz w:val="28"/>
          <w:szCs w:val="28"/>
        </w:rPr>
        <w:t>Фактором, повлиявшим на снижение темпа роста продаж, является превышение ожидаемого показателя уровня инфляции.</w:t>
      </w:r>
    </w:p>
    <w:p w:rsidR="003E76D7" w:rsidRPr="0093769C" w:rsidRDefault="003E76D7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Объем платных услуг населению</w:t>
      </w:r>
    </w:p>
    <w:p w:rsidR="006846D4" w:rsidRPr="0093769C" w:rsidRDefault="006846D4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 2019 году населению республики оказано платных услуг на сумму 68,4 млрд. рублей, что на 0,7% ниже уровня 2018 года. По итогам года платные услуги подорожали на 3,3%.</w:t>
      </w:r>
    </w:p>
    <w:p w:rsidR="006846D4" w:rsidRPr="0093769C" w:rsidRDefault="006846D4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На снижение объема платных услуг наибольшее влияние оказали следующие виды услуг:</w:t>
      </w:r>
    </w:p>
    <w:p w:rsidR="006846D4" w:rsidRPr="0093769C" w:rsidRDefault="006846D4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– коммунальные (темп роста – 97,1%);</w:t>
      </w:r>
    </w:p>
    <w:p w:rsidR="006846D4" w:rsidRPr="0093769C" w:rsidRDefault="006846D4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– транспортные (темп роста – 92,7%);</w:t>
      </w:r>
    </w:p>
    <w:p w:rsidR="006846D4" w:rsidRPr="0093769C" w:rsidRDefault="006846D4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– бытовые (темп роста – 98,5%).</w:t>
      </w:r>
    </w:p>
    <w:p w:rsidR="006846D4" w:rsidRPr="0093769C" w:rsidRDefault="006846D4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Сфера услуг наиболее восприимчива к изменению благосостояния граждан. Оплата за проживание и коммунальные услуги относятся к числу наиболее чувствительных для населения расходов. По итогам 2019 года увеличение тарифов на коммунальные услуги (на 7,7%) опережало рост цен на другие товары и услуги, когда инфляция в целом оставалась достаточно низкой.</w:t>
      </w:r>
    </w:p>
    <w:p w:rsidR="006846D4" w:rsidRPr="0093769C" w:rsidRDefault="006846D4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В условиях сокращения реальных денежных доходов населения (в Удмуртии в 2019 году – 102,1%, в 2018 году – 96,9%, в 2017 году – 98,5%, в 2016 году – 93,4%) и ужесточением правил потребительского кредитования платежеспособный потребительский спрос испытывал дефицит источников роста. Как следствие, население вынуждено было отказаться или ограничить себя в приобретении многих видов необязательных услуг.</w:t>
      </w:r>
    </w:p>
    <w:p w:rsidR="008B7AAB" w:rsidRPr="0093769C" w:rsidRDefault="006846D4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Кроме того, отмечается тенденция перехода населения к сберегательной модели поведения: в структуре использования денежных доходов населения в 2019 году на сбережения приходилось 7,3% от дохода против 6,9% в 2018 году.</w:t>
      </w:r>
    </w:p>
    <w:p w:rsidR="006846D4" w:rsidRPr="0093769C" w:rsidRDefault="006846D4" w:rsidP="00681AB2">
      <w:pPr>
        <w:spacing w:before="120" w:after="120" w:line="276" w:lineRule="auto"/>
        <w:ind w:right="140" w:firstLine="851"/>
        <w:jc w:val="both"/>
        <w:rPr>
          <w:sz w:val="28"/>
          <w:szCs w:val="28"/>
          <w:highlight w:val="green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Номинальная начисленная среднемесячная заработная плата одного работника (в среднем за период), Фонд заработной платы</w:t>
      </w:r>
    </w:p>
    <w:p w:rsidR="00EA61F2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По предварительным данным Удмуртстата фактический размер номинальной начисленной среднемесячной заработной платы на одного работника в 2019 году составил 34 069 рублей</w:t>
      </w:r>
      <w:r w:rsidR="00EA61F2" w:rsidRPr="0093769C">
        <w:rPr>
          <w:sz w:val="28"/>
          <w:szCs w:val="28"/>
        </w:rPr>
        <w:t xml:space="preserve"> (прогноз – 33 402 рубля), что выше прогнозного значения на </w:t>
      </w:r>
      <w:r w:rsidRPr="0093769C">
        <w:rPr>
          <w:sz w:val="28"/>
          <w:szCs w:val="28"/>
        </w:rPr>
        <w:t>102,0%</w:t>
      </w:r>
      <w:r w:rsidR="00EA61F2" w:rsidRPr="0093769C">
        <w:rPr>
          <w:sz w:val="28"/>
          <w:szCs w:val="28"/>
        </w:rPr>
        <w:t>.</w:t>
      </w:r>
    </w:p>
    <w:p w:rsidR="00EA61F2" w:rsidRPr="0093769C" w:rsidRDefault="00EA61F2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Реальные располагаемые денежные доходы населения</w:t>
      </w:r>
    </w:p>
    <w:p w:rsidR="00C81C4A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По предварительной оценке Удмуртстата реальные располагаемые денежные доходы населения в 2019 году составили 101,8% к 2018 году, при прогнозном значении 97,8%</w:t>
      </w:r>
      <w:r w:rsidR="00EA61F2" w:rsidRPr="0093769C">
        <w:rPr>
          <w:sz w:val="28"/>
          <w:szCs w:val="28"/>
        </w:rPr>
        <w:t xml:space="preserve">. </w:t>
      </w:r>
      <w:r w:rsidRPr="0093769C">
        <w:rPr>
          <w:sz w:val="28"/>
          <w:szCs w:val="28"/>
        </w:rPr>
        <w:t>Выполнение показателя обусловлено тем, что Росстат произвел уточнение окончательного размера среднедушевых денежных доходов населения Удмуртской Республики в 2018 году, снизив его по отношению к предварительному значению на 2,6% и установив на уровне 23 827 рублей. По итогам 2019 года по предварительной оценке величина среднедушевых денежных доходов населения составила 25 214 рублей. Таким образом, прирост величины среднедушевых денежных доходов населения в республике в 2019 году по отношению к 2018 году составил 5,8%, что опережает среднегодовую инфляцию 2019 года на 2,3 п.п.</w:t>
      </w:r>
    </w:p>
    <w:p w:rsidR="00D000AE" w:rsidRPr="0093769C" w:rsidRDefault="00D000AE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Среднесписочная численность работников организаций, Уровень официально зарегистрированной безработицы (на конец года)</w:t>
      </w:r>
    </w:p>
    <w:p w:rsidR="00C81C4A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На 1 января 2020 года уровень официально регистрируемой безработицы составил 0,98%</w:t>
      </w:r>
      <w:r w:rsidR="00A56AF9" w:rsidRPr="0093769C">
        <w:rPr>
          <w:sz w:val="28"/>
          <w:szCs w:val="28"/>
        </w:rPr>
        <w:t xml:space="preserve"> (прогноз – 1,09%)</w:t>
      </w:r>
      <w:r w:rsidRPr="0093769C">
        <w:rPr>
          <w:sz w:val="28"/>
          <w:szCs w:val="28"/>
        </w:rPr>
        <w:t xml:space="preserve">. </w:t>
      </w:r>
    </w:p>
    <w:p w:rsidR="00A56AF9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В целях улучшения ситуации на рынке труда Удмуртской Республики реализуется подпрограмма «Активная политика занятости населения и социальная поддержка безработных граждан» государственной программы «Развитие социально-трудовых отношений и содействие занятости населения Удмуртской Республики». </w:t>
      </w:r>
    </w:p>
    <w:p w:rsidR="00C81C4A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Сокращение среднесписочной численности работников организаций в отчетном периоде связано с увеличением занятых в малом бизнесе и самозанятых граждан (на 1 января 2020 года статус индивидуального предпринимателя имеют 51,4% хозяйствующих субъектов против 50,6% в </w:t>
      </w:r>
      <w:r w:rsidRPr="0093769C">
        <w:rPr>
          <w:sz w:val="28"/>
          <w:szCs w:val="28"/>
        </w:rPr>
        <w:lastRenderedPageBreak/>
        <w:t>соответствующем периоде прошлого года; доля юридических лиц уменьшилась на 0,7 процентных пункта).</w:t>
      </w: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</w:p>
    <w:p w:rsidR="008B7AAB" w:rsidRPr="0093769C" w:rsidRDefault="008B7AAB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Величина прожиточного минимума в среднем на душу населения (в среднем за год), Численность населения с денежными доходами ниже прожиточного минимума к общей численности населения</w:t>
      </w:r>
    </w:p>
    <w:p w:rsidR="00C81C4A" w:rsidRPr="0093769C" w:rsidRDefault="00C81C4A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Фактическое значение показателя в 2019 году составило 9 732 рубля при прогнозном значении 9 426 рублей</w:t>
      </w:r>
      <w:r w:rsidR="00A56AF9" w:rsidRPr="0093769C">
        <w:rPr>
          <w:sz w:val="28"/>
          <w:szCs w:val="28"/>
        </w:rPr>
        <w:t>.</w:t>
      </w:r>
      <w:r w:rsidRPr="0093769C">
        <w:rPr>
          <w:sz w:val="28"/>
          <w:szCs w:val="28"/>
        </w:rPr>
        <w:t xml:space="preserve"> </w:t>
      </w:r>
      <w:r w:rsidR="00A56AF9" w:rsidRPr="0093769C">
        <w:rPr>
          <w:sz w:val="28"/>
          <w:szCs w:val="28"/>
        </w:rPr>
        <w:t>Р</w:t>
      </w:r>
      <w:r w:rsidRPr="0093769C">
        <w:rPr>
          <w:sz w:val="28"/>
          <w:szCs w:val="28"/>
        </w:rPr>
        <w:t xml:space="preserve">ост значения показателя </w:t>
      </w:r>
      <w:r w:rsidR="00A56AF9" w:rsidRPr="0093769C">
        <w:rPr>
          <w:sz w:val="28"/>
          <w:szCs w:val="28"/>
        </w:rPr>
        <w:t xml:space="preserve">на </w:t>
      </w:r>
      <w:r w:rsidRPr="0093769C">
        <w:rPr>
          <w:sz w:val="28"/>
          <w:szCs w:val="28"/>
        </w:rPr>
        <w:t>7,8% по отношению к значению 2018 года обусловлен опережающим ростом уровня цен на продукты питания, входящи</w:t>
      </w:r>
      <w:r w:rsidR="00A56AF9" w:rsidRPr="0093769C">
        <w:rPr>
          <w:sz w:val="28"/>
          <w:szCs w:val="28"/>
        </w:rPr>
        <w:t>е</w:t>
      </w:r>
      <w:r w:rsidRPr="0093769C">
        <w:rPr>
          <w:sz w:val="28"/>
          <w:szCs w:val="28"/>
        </w:rPr>
        <w:t xml:space="preserve"> в потребительскую корзину, по отношению к уровню общей инфляции, связанным в том числе с повышением НДС с 1 января 2019 года.</w:t>
      </w:r>
    </w:p>
    <w:p w:rsidR="00E463A9" w:rsidRPr="0093769C" w:rsidRDefault="00E463A9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</w:p>
    <w:p w:rsidR="001665DC" w:rsidRPr="0093769C" w:rsidRDefault="001665DC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  <w:r w:rsidRPr="0093769C">
        <w:rPr>
          <w:b/>
          <w:sz w:val="28"/>
          <w:szCs w:val="28"/>
        </w:rPr>
        <w:t>Экспорт</w:t>
      </w:r>
    </w:p>
    <w:p w:rsidR="00B1267E" w:rsidRPr="0093769C" w:rsidRDefault="00B1267E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Объем экспорта Удмуртской Республики по итогам 2019 года составил 618,4 млн. долларов США. 99,7% экспорта составлял несыревой неэнергетический экспорт: 60% занимают неклассифицированные товары и 9% - легковые автомобили.</w:t>
      </w:r>
    </w:p>
    <w:p w:rsidR="00B1267E" w:rsidRPr="0093769C" w:rsidRDefault="00B1267E" w:rsidP="00681AB2">
      <w:pPr>
        <w:spacing w:before="120" w:after="120" w:line="276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3769C">
        <w:rPr>
          <w:sz w:val="28"/>
          <w:szCs w:val="28"/>
        </w:rPr>
        <w:t xml:space="preserve">Отклонение фактического значения от прогнозируемого обусловлено тем, что </w:t>
      </w:r>
      <w:r w:rsidRPr="0093769C">
        <w:rPr>
          <w:rFonts w:eastAsia="Arial"/>
          <w:sz w:val="28"/>
          <w:szCs w:val="28"/>
          <w:lang w:eastAsia="ar-SA"/>
        </w:rPr>
        <w:t>в 4 квартале 2019 года увеличились поставки неклассифицируемых товаров в страны Ближнего Востока и произведены разовые поставки неклассифицируемых товаров в Алжир.</w:t>
      </w:r>
    </w:p>
    <w:p w:rsidR="00B1267E" w:rsidRPr="0093769C" w:rsidRDefault="00B1267E" w:rsidP="00681AB2">
      <w:pPr>
        <w:spacing w:before="120" w:after="120" w:line="276" w:lineRule="auto"/>
        <w:ind w:firstLine="851"/>
        <w:jc w:val="both"/>
        <w:rPr>
          <w:rFonts w:eastAsia="Arial"/>
          <w:sz w:val="28"/>
          <w:szCs w:val="28"/>
          <w:lang w:eastAsia="ar-SA"/>
        </w:rPr>
      </w:pPr>
      <w:r w:rsidRPr="0093769C">
        <w:rPr>
          <w:rFonts w:eastAsia="Arial"/>
          <w:sz w:val="28"/>
          <w:szCs w:val="28"/>
          <w:lang w:eastAsia="ar-SA"/>
        </w:rPr>
        <w:t>Также на отклонение фактических объемов экспорта Удмуртской Республики от прогнозных показателей повлиял пересмотр в 4 квартале 2019 года Минпромторгом России методики расчета экспортных показателей в связи с добавлением к показателям несырьевого неэнергетического экспорта некоторых товарных позиций химии и нефтехимии, которые ранее там не учитывались.</w:t>
      </w:r>
    </w:p>
    <w:p w:rsidR="00B1267E" w:rsidRPr="0093769C" w:rsidRDefault="00B1267E" w:rsidP="00681AB2">
      <w:pPr>
        <w:spacing w:before="120" w:after="120" w:line="276" w:lineRule="auto"/>
        <w:ind w:right="140" w:firstLine="851"/>
        <w:jc w:val="both"/>
        <w:rPr>
          <w:sz w:val="28"/>
          <w:szCs w:val="28"/>
        </w:rPr>
      </w:pPr>
    </w:p>
    <w:p w:rsidR="001665DC" w:rsidRPr="0093769C" w:rsidRDefault="001665DC" w:rsidP="00681AB2">
      <w:pPr>
        <w:spacing w:before="120" w:after="120" w:line="276" w:lineRule="auto"/>
        <w:ind w:right="140" w:firstLine="851"/>
        <w:jc w:val="both"/>
        <w:rPr>
          <w:b/>
          <w:sz w:val="28"/>
          <w:szCs w:val="28"/>
        </w:rPr>
      </w:pPr>
      <w:r w:rsidRPr="0093769C">
        <w:rPr>
          <w:b/>
          <w:sz w:val="28"/>
          <w:szCs w:val="28"/>
        </w:rPr>
        <w:t>Импорт</w:t>
      </w:r>
    </w:p>
    <w:p w:rsidR="00B47F46" w:rsidRPr="0093769C" w:rsidRDefault="00B1267E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 xml:space="preserve">Фактический объем импортных поставок в 2019 году составил 383,3 млн. долларов США, отклонившись от прогнозных показателей в сторону </w:t>
      </w:r>
      <w:r w:rsidR="00507AA1" w:rsidRPr="0093769C">
        <w:rPr>
          <w:sz w:val="28"/>
          <w:szCs w:val="28"/>
        </w:rPr>
        <w:t>увеличения</w:t>
      </w:r>
      <w:r w:rsidRPr="0093769C">
        <w:rPr>
          <w:sz w:val="28"/>
          <w:szCs w:val="28"/>
        </w:rPr>
        <w:t xml:space="preserve"> на </w:t>
      </w:r>
      <w:r w:rsidR="00507AA1" w:rsidRPr="0093769C">
        <w:rPr>
          <w:sz w:val="28"/>
          <w:szCs w:val="28"/>
        </w:rPr>
        <w:t>2,1</w:t>
      </w:r>
      <w:r w:rsidRPr="0093769C">
        <w:rPr>
          <w:sz w:val="28"/>
          <w:szCs w:val="28"/>
        </w:rPr>
        <w:t xml:space="preserve">% или </w:t>
      </w:r>
      <w:r w:rsidR="00507AA1" w:rsidRPr="0093769C">
        <w:rPr>
          <w:sz w:val="28"/>
          <w:szCs w:val="28"/>
        </w:rPr>
        <w:t>8,3</w:t>
      </w:r>
      <w:r w:rsidRPr="0093769C">
        <w:rPr>
          <w:sz w:val="28"/>
          <w:szCs w:val="28"/>
        </w:rPr>
        <w:t xml:space="preserve"> млн. долларов США.</w:t>
      </w:r>
      <w:r w:rsidR="00A56AF9" w:rsidRPr="0093769C">
        <w:rPr>
          <w:sz w:val="28"/>
          <w:szCs w:val="28"/>
        </w:rPr>
        <w:t xml:space="preserve"> </w:t>
      </w:r>
      <w:r w:rsidR="00B47F46" w:rsidRPr="0093769C">
        <w:rPr>
          <w:sz w:val="28"/>
          <w:szCs w:val="28"/>
        </w:rPr>
        <w:t xml:space="preserve">На отклонение фактических данных от прогнозируемых повлияло увеличение в 2019 году импорта </w:t>
      </w:r>
      <w:r w:rsidR="00B47F46" w:rsidRPr="0093769C">
        <w:rPr>
          <w:sz w:val="28"/>
          <w:szCs w:val="28"/>
        </w:rPr>
        <w:lastRenderedPageBreak/>
        <w:t>минеральной продукции на 49,1%, а также увеличение импорта текстильной продукции на 11,0%.</w:t>
      </w:r>
    </w:p>
    <w:p w:rsidR="00B47F46" w:rsidRPr="0093769C" w:rsidRDefault="00B47F46" w:rsidP="00681AB2">
      <w:pPr>
        <w:spacing w:before="120" w:after="120" w:line="276" w:lineRule="auto"/>
        <w:ind w:firstLine="851"/>
        <w:jc w:val="both"/>
        <w:rPr>
          <w:sz w:val="28"/>
          <w:szCs w:val="28"/>
        </w:rPr>
      </w:pPr>
      <w:r w:rsidRPr="0093769C">
        <w:rPr>
          <w:sz w:val="28"/>
          <w:szCs w:val="28"/>
        </w:rPr>
        <w:t>Страны-контрагенты при осуществлении импортных поставок – Китай, Польша, Румыния, Корея.</w:t>
      </w:r>
    </w:p>
    <w:sectPr w:rsidR="00B47F46" w:rsidRPr="0093769C" w:rsidSect="00504C86">
      <w:pgSz w:w="11906" w:h="16838"/>
      <w:pgMar w:top="1247" w:right="567" w:bottom="1304" w:left="1701" w:header="709" w:footer="709" w:gutter="0"/>
      <w:pgNumType w:start="12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A6A" w:rsidRDefault="00EC3A6A" w:rsidP="00C32E2B">
      <w:r>
        <w:separator/>
      </w:r>
    </w:p>
  </w:endnote>
  <w:endnote w:type="continuationSeparator" w:id="1">
    <w:p w:rsidR="00EC3A6A" w:rsidRDefault="00EC3A6A" w:rsidP="00C32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A6A" w:rsidRDefault="00EC3A6A" w:rsidP="00C32E2B">
      <w:r>
        <w:separator/>
      </w:r>
    </w:p>
  </w:footnote>
  <w:footnote w:type="continuationSeparator" w:id="1">
    <w:p w:rsidR="00EC3A6A" w:rsidRDefault="00EC3A6A" w:rsidP="00C32E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34953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EC3A6A" w:rsidRDefault="00A80671">
        <w:pPr>
          <w:pStyle w:val="a7"/>
          <w:jc w:val="center"/>
        </w:pPr>
        <w:r w:rsidRPr="004354EE">
          <w:rPr>
            <w:szCs w:val="18"/>
          </w:rPr>
          <w:fldChar w:fldCharType="begin"/>
        </w:r>
        <w:r w:rsidR="00EC3A6A" w:rsidRPr="004354EE">
          <w:rPr>
            <w:szCs w:val="18"/>
          </w:rPr>
          <w:instrText xml:space="preserve"> PAGE   \* MERGEFORMAT </w:instrText>
        </w:r>
        <w:r w:rsidRPr="004354EE">
          <w:rPr>
            <w:szCs w:val="18"/>
          </w:rPr>
          <w:fldChar w:fldCharType="separate"/>
        </w:r>
        <w:r w:rsidR="0097137E">
          <w:rPr>
            <w:noProof/>
            <w:szCs w:val="18"/>
          </w:rPr>
          <w:t>131</w:t>
        </w:r>
        <w:r w:rsidRPr="004354EE">
          <w:rPr>
            <w:szCs w:val="18"/>
          </w:rPr>
          <w:fldChar w:fldCharType="end"/>
        </w:r>
      </w:p>
    </w:sdtContent>
  </w:sdt>
  <w:p w:rsidR="00EC3A6A" w:rsidRDefault="00EC3A6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10813"/>
    <w:multiLevelType w:val="hybridMultilevel"/>
    <w:tmpl w:val="433CD16E"/>
    <w:lvl w:ilvl="0" w:tplc="53E2981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DA656E"/>
    <w:multiLevelType w:val="hybridMultilevel"/>
    <w:tmpl w:val="396E9262"/>
    <w:lvl w:ilvl="0" w:tplc="A88C95C6">
      <w:start w:val="4"/>
      <w:numFmt w:val="decimal"/>
      <w:lvlText w:val="%1)"/>
      <w:lvlJc w:val="left"/>
      <w:pPr>
        <w:tabs>
          <w:tab w:val="num" w:pos="942"/>
        </w:tabs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1D5A46B3"/>
    <w:multiLevelType w:val="multilevel"/>
    <w:tmpl w:val="128E45BC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  <w:b/>
        <w:i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78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8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b/>
        <w:i/>
      </w:rPr>
    </w:lvl>
  </w:abstractNum>
  <w:abstractNum w:abstractNumId="3">
    <w:nsid w:val="23DB3681"/>
    <w:multiLevelType w:val="hybridMultilevel"/>
    <w:tmpl w:val="ABF2CE48"/>
    <w:lvl w:ilvl="0" w:tplc="C744F1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25074198"/>
    <w:multiLevelType w:val="hybridMultilevel"/>
    <w:tmpl w:val="3EC474F8"/>
    <w:lvl w:ilvl="0" w:tplc="19843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501482"/>
    <w:multiLevelType w:val="multilevel"/>
    <w:tmpl w:val="DA42AB7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>
    <w:nsid w:val="26AE180C"/>
    <w:multiLevelType w:val="hybridMultilevel"/>
    <w:tmpl w:val="4A56150C"/>
    <w:lvl w:ilvl="0" w:tplc="8BF2654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106CD6"/>
    <w:multiLevelType w:val="hybridMultilevel"/>
    <w:tmpl w:val="8896564A"/>
    <w:lvl w:ilvl="0" w:tplc="ABC2E5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7F2906"/>
    <w:multiLevelType w:val="singleLevel"/>
    <w:tmpl w:val="046295C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B170FE0"/>
    <w:multiLevelType w:val="multilevel"/>
    <w:tmpl w:val="892CE2D6"/>
    <w:lvl w:ilvl="0">
      <w:start w:val="3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179"/>
        </w:tabs>
        <w:ind w:left="1179" w:hanging="99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68"/>
        </w:tabs>
        <w:ind w:left="1368" w:hanging="990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6"/>
        </w:tabs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5"/>
        </w:tabs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3"/>
        </w:tabs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72"/>
        </w:tabs>
        <w:ind w:left="3672" w:hanging="2160"/>
      </w:pPr>
      <w:rPr>
        <w:rFonts w:hint="default"/>
      </w:rPr>
    </w:lvl>
  </w:abstractNum>
  <w:abstractNum w:abstractNumId="10">
    <w:nsid w:val="445F4551"/>
    <w:multiLevelType w:val="multilevel"/>
    <w:tmpl w:val="DBCA7FBE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>
    <w:nsid w:val="473C1C44"/>
    <w:multiLevelType w:val="multilevel"/>
    <w:tmpl w:val="08E6C4EE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28"/>
        </w:tabs>
        <w:ind w:left="1028" w:hanging="8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16"/>
        </w:tabs>
        <w:ind w:left="1216" w:hanging="840"/>
      </w:pPr>
      <w:rPr>
        <w:rFonts w:hint="default"/>
      </w:rPr>
    </w:lvl>
    <w:lvl w:ilvl="3">
      <w:start w:val="2"/>
      <w:numFmt w:val="decimal"/>
      <w:lvlText w:val="%1.%2.%3.%4."/>
      <w:lvlJc w:val="left"/>
      <w:pPr>
        <w:tabs>
          <w:tab w:val="num" w:pos="1644"/>
        </w:tabs>
        <w:ind w:left="16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32"/>
        </w:tabs>
        <w:ind w:left="18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80"/>
        </w:tabs>
        <w:ind w:left="2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28"/>
        </w:tabs>
        <w:ind w:left="29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16"/>
        </w:tabs>
        <w:ind w:left="31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64"/>
        </w:tabs>
        <w:ind w:left="3664" w:hanging="2160"/>
      </w:pPr>
      <w:rPr>
        <w:rFonts w:hint="default"/>
      </w:rPr>
    </w:lvl>
  </w:abstractNum>
  <w:abstractNum w:abstractNumId="12">
    <w:nsid w:val="47943987"/>
    <w:multiLevelType w:val="multilevel"/>
    <w:tmpl w:val="804A040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3"/>
        </w:tabs>
        <w:ind w:left="1063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46"/>
        </w:tabs>
        <w:ind w:left="13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3">
    <w:nsid w:val="492027CB"/>
    <w:multiLevelType w:val="hybridMultilevel"/>
    <w:tmpl w:val="67A828BC"/>
    <w:lvl w:ilvl="0" w:tplc="4F4A6058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51B6011F"/>
    <w:multiLevelType w:val="multilevel"/>
    <w:tmpl w:val="804A0402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3"/>
        </w:tabs>
        <w:ind w:left="1063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346"/>
        </w:tabs>
        <w:ind w:left="13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58347B87"/>
    <w:multiLevelType w:val="hybridMultilevel"/>
    <w:tmpl w:val="39141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D24134"/>
    <w:multiLevelType w:val="singleLevel"/>
    <w:tmpl w:val="682CDE6C"/>
    <w:lvl w:ilvl="0">
      <w:start w:val="22"/>
      <w:numFmt w:val="bullet"/>
      <w:lvlText w:val="-"/>
      <w:lvlJc w:val="left"/>
      <w:pPr>
        <w:tabs>
          <w:tab w:val="num" w:pos="920"/>
        </w:tabs>
        <w:ind w:left="920" w:hanging="360"/>
      </w:pPr>
      <w:rPr>
        <w:rFonts w:hint="default"/>
      </w:rPr>
    </w:lvl>
  </w:abstractNum>
  <w:abstractNum w:abstractNumId="17">
    <w:nsid w:val="78372EA0"/>
    <w:multiLevelType w:val="multilevel"/>
    <w:tmpl w:val="DA9E8EF6"/>
    <w:lvl w:ilvl="0">
      <w:start w:val="3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BFC37B0"/>
    <w:multiLevelType w:val="multilevel"/>
    <w:tmpl w:val="33687BB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num w:numId="1">
    <w:abstractNumId w:val="8"/>
  </w:num>
  <w:num w:numId="2">
    <w:abstractNumId w:val="16"/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0"/>
  </w:num>
  <w:num w:numId="7">
    <w:abstractNumId w:val="18"/>
  </w:num>
  <w:num w:numId="8">
    <w:abstractNumId w:val="9"/>
  </w:num>
  <w:num w:numId="9">
    <w:abstractNumId w:val="12"/>
  </w:num>
  <w:num w:numId="10">
    <w:abstractNumId w:val="14"/>
  </w:num>
  <w:num w:numId="11">
    <w:abstractNumId w:val="4"/>
  </w:num>
  <w:num w:numId="12">
    <w:abstractNumId w:val="11"/>
  </w:num>
  <w:num w:numId="13">
    <w:abstractNumId w:val="5"/>
  </w:num>
  <w:num w:numId="14">
    <w:abstractNumId w:val="17"/>
  </w:num>
  <w:num w:numId="15">
    <w:abstractNumId w:val="1"/>
  </w:num>
  <w:num w:numId="16">
    <w:abstractNumId w:val="13"/>
  </w:num>
  <w:num w:numId="17">
    <w:abstractNumId w:val="3"/>
  </w:num>
  <w:num w:numId="18">
    <w:abstractNumId w:val="15"/>
  </w:num>
  <w:num w:numId="19">
    <w:abstractNumId w:val="7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00"/>
  <w:displayHorizontalDrawingGridEvery w:val="2"/>
  <w:characterSpacingControl w:val="doNotCompress"/>
  <w:hdrShapeDefaults>
    <o:shapedefaults v:ext="edit" spidmax="51201"/>
  </w:hdrShapeDefaults>
  <w:footnotePr>
    <w:footnote w:id="0"/>
    <w:footnote w:id="1"/>
  </w:footnotePr>
  <w:endnotePr>
    <w:endnote w:id="0"/>
    <w:endnote w:id="1"/>
  </w:endnotePr>
  <w:compat/>
  <w:rsids>
    <w:rsidRoot w:val="00771C07"/>
    <w:rsid w:val="00017C84"/>
    <w:rsid w:val="0002408E"/>
    <w:rsid w:val="000252BC"/>
    <w:rsid w:val="00025C44"/>
    <w:rsid w:val="00035F5C"/>
    <w:rsid w:val="0004136B"/>
    <w:rsid w:val="0004415B"/>
    <w:rsid w:val="000504AF"/>
    <w:rsid w:val="00050C10"/>
    <w:rsid w:val="000526B2"/>
    <w:rsid w:val="0005319A"/>
    <w:rsid w:val="000557E7"/>
    <w:rsid w:val="000646CA"/>
    <w:rsid w:val="00077B75"/>
    <w:rsid w:val="00077FCD"/>
    <w:rsid w:val="00085841"/>
    <w:rsid w:val="00097BA5"/>
    <w:rsid w:val="000A122A"/>
    <w:rsid w:val="000A5C17"/>
    <w:rsid w:val="000B1489"/>
    <w:rsid w:val="000C0C73"/>
    <w:rsid w:val="000C1DEF"/>
    <w:rsid w:val="000D1860"/>
    <w:rsid w:val="000E5542"/>
    <w:rsid w:val="000F259C"/>
    <w:rsid w:val="00100143"/>
    <w:rsid w:val="00102BCF"/>
    <w:rsid w:val="00120356"/>
    <w:rsid w:val="00155BFB"/>
    <w:rsid w:val="00163371"/>
    <w:rsid w:val="00165E8F"/>
    <w:rsid w:val="001665DC"/>
    <w:rsid w:val="00177604"/>
    <w:rsid w:val="0017760E"/>
    <w:rsid w:val="00182469"/>
    <w:rsid w:val="001848A9"/>
    <w:rsid w:val="001A0BBC"/>
    <w:rsid w:val="001A749A"/>
    <w:rsid w:val="001B0D2F"/>
    <w:rsid w:val="001C34A8"/>
    <w:rsid w:val="001C5ED6"/>
    <w:rsid w:val="001C7FC5"/>
    <w:rsid w:val="001D1D43"/>
    <w:rsid w:val="001D6726"/>
    <w:rsid w:val="001E0049"/>
    <w:rsid w:val="001E5DF4"/>
    <w:rsid w:val="001E65DB"/>
    <w:rsid w:val="001F74B2"/>
    <w:rsid w:val="002033B6"/>
    <w:rsid w:val="002065FA"/>
    <w:rsid w:val="00213BAA"/>
    <w:rsid w:val="0022119E"/>
    <w:rsid w:val="002233CD"/>
    <w:rsid w:val="00227E89"/>
    <w:rsid w:val="00244AE4"/>
    <w:rsid w:val="00250119"/>
    <w:rsid w:val="002506FB"/>
    <w:rsid w:val="00253EDC"/>
    <w:rsid w:val="00265D1C"/>
    <w:rsid w:val="00291CD7"/>
    <w:rsid w:val="00293DA7"/>
    <w:rsid w:val="002A2B32"/>
    <w:rsid w:val="002B373C"/>
    <w:rsid w:val="002B4683"/>
    <w:rsid w:val="002B5C55"/>
    <w:rsid w:val="002B6254"/>
    <w:rsid w:val="002C2A5A"/>
    <w:rsid w:val="002F0819"/>
    <w:rsid w:val="00300728"/>
    <w:rsid w:val="00314F0C"/>
    <w:rsid w:val="003201D1"/>
    <w:rsid w:val="00341FFE"/>
    <w:rsid w:val="00346A72"/>
    <w:rsid w:val="003549F0"/>
    <w:rsid w:val="003762D7"/>
    <w:rsid w:val="00386BC0"/>
    <w:rsid w:val="00387CD9"/>
    <w:rsid w:val="00392D9F"/>
    <w:rsid w:val="00394B28"/>
    <w:rsid w:val="003A3C16"/>
    <w:rsid w:val="003A7009"/>
    <w:rsid w:val="003C0884"/>
    <w:rsid w:val="003C0FBE"/>
    <w:rsid w:val="003C2C30"/>
    <w:rsid w:val="003C674A"/>
    <w:rsid w:val="003D2EB4"/>
    <w:rsid w:val="003D6936"/>
    <w:rsid w:val="003E1F5A"/>
    <w:rsid w:val="003E2F16"/>
    <w:rsid w:val="003E76D7"/>
    <w:rsid w:val="003F602E"/>
    <w:rsid w:val="004112D9"/>
    <w:rsid w:val="00412DB8"/>
    <w:rsid w:val="0041494F"/>
    <w:rsid w:val="00432CF7"/>
    <w:rsid w:val="004354EE"/>
    <w:rsid w:val="00435F0E"/>
    <w:rsid w:val="00450EBA"/>
    <w:rsid w:val="00464CB0"/>
    <w:rsid w:val="0047081F"/>
    <w:rsid w:val="00473FA2"/>
    <w:rsid w:val="00477835"/>
    <w:rsid w:val="0048139A"/>
    <w:rsid w:val="00482995"/>
    <w:rsid w:val="00495485"/>
    <w:rsid w:val="00495B14"/>
    <w:rsid w:val="004A1DB3"/>
    <w:rsid w:val="004A41D4"/>
    <w:rsid w:val="004A6501"/>
    <w:rsid w:val="004B4398"/>
    <w:rsid w:val="004E0CE7"/>
    <w:rsid w:val="004E744D"/>
    <w:rsid w:val="00504C86"/>
    <w:rsid w:val="00507AA1"/>
    <w:rsid w:val="005124D5"/>
    <w:rsid w:val="00514C6E"/>
    <w:rsid w:val="00521531"/>
    <w:rsid w:val="0052266F"/>
    <w:rsid w:val="00522819"/>
    <w:rsid w:val="00525171"/>
    <w:rsid w:val="00531108"/>
    <w:rsid w:val="00533D07"/>
    <w:rsid w:val="00534037"/>
    <w:rsid w:val="00552E5B"/>
    <w:rsid w:val="00553F72"/>
    <w:rsid w:val="00554D54"/>
    <w:rsid w:val="00556219"/>
    <w:rsid w:val="00567E72"/>
    <w:rsid w:val="00575926"/>
    <w:rsid w:val="005906C1"/>
    <w:rsid w:val="00590A6C"/>
    <w:rsid w:val="005979EE"/>
    <w:rsid w:val="005A3D50"/>
    <w:rsid w:val="005C251C"/>
    <w:rsid w:val="005C5790"/>
    <w:rsid w:val="005D3F8A"/>
    <w:rsid w:val="005E51C9"/>
    <w:rsid w:val="005F1BBA"/>
    <w:rsid w:val="005F3CEF"/>
    <w:rsid w:val="005F696F"/>
    <w:rsid w:val="006111B6"/>
    <w:rsid w:val="006326C0"/>
    <w:rsid w:val="00647CA0"/>
    <w:rsid w:val="00654D14"/>
    <w:rsid w:val="00672BDC"/>
    <w:rsid w:val="00681AB2"/>
    <w:rsid w:val="006846D4"/>
    <w:rsid w:val="006A382C"/>
    <w:rsid w:val="006B47C4"/>
    <w:rsid w:val="006C1AA6"/>
    <w:rsid w:val="006C2655"/>
    <w:rsid w:val="006E0926"/>
    <w:rsid w:val="006E7868"/>
    <w:rsid w:val="006F07B6"/>
    <w:rsid w:val="007101D6"/>
    <w:rsid w:val="007118FE"/>
    <w:rsid w:val="0071220A"/>
    <w:rsid w:val="007131AF"/>
    <w:rsid w:val="0071428C"/>
    <w:rsid w:val="00730434"/>
    <w:rsid w:val="00747B4E"/>
    <w:rsid w:val="00750996"/>
    <w:rsid w:val="0075110D"/>
    <w:rsid w:val="0075171F"/>
    <w:rsid w:val="0075344E"/>
    <w:rsid w:val="00755CB2"/>
    <w:rsid w:val="00762D19"/>
    <w:rsid w:val="00771C07"/>
    <w:rsid w:val="00781403"/>
    <w:rsid w:val="0078710F"/>
    <w:rsid w:val="00790611"/>
    <w:rsid w:val="00792B38"/>
    <w:rsid w:val="00795F60"/>
    <w:rsid w:val="007A521E"/>
    <w:rsid w:val="007A5D3A"/>
    <w:rsid w:val="007B5BF0"/>
    <w:rsid w:val="007B75F9"/>
    <w:rsid w:val="007C1A45"/>
    <w:rsid w:val="007C68E3"/>
    <w:rsid w:val="007D1DE0"/>
    <w:rsid w:val="007E0E4B"/>
    <w:rsid w:val="007F633E"/>
    <w:rsid w:val="007F749D"/>
    <w:rsid w:val="008157D8"/>
    <w:rsid w:val="0082083D"/>
    <w:rsid w:val="00847145"/>
    <w:rsid w:val="00871C1E"/>
    <w:rsid w:val="00873283"/>
    <w:rsid w:val="008734E7"/>
    <w:rsid w:val="00880B0D"/>
    <w:rsid w:val="0088265F"/>
    <w:rsid w:val="008A4517"/>
    <w:rsid w:val="008A46E4"/>
    <w:rsid w:val="008A7FC1"/>
    <w:rsid w:val="008B7AAB"/>
    <w:rsid w:val="008C042C"/>
    <w:rsid w:val="008C28A3"/>
    <w:rsid w:val="008C5EC8"/>
    <w:rsid w:val="008C7F31"/>
    <w:rsid w:val="008D58EF"/>
    <w:rsid w:val="008E3937"/>
    <w:rsid w:val="008F21C5"/>
    <w:rsid w:val="008F35FF"/>
    <w:rsid w:val="008F4222"/>
    <w:rsid w:val="008F7F53"/>
    <w:rsid w:val="00901EA3"/>
    <w:rsid w:val="00921D75"/>
    <w:rsid w:val="00924063"/>
    <w:rsid w:val="00925089"/>
    <w:rsid w:val="00931BAF"/>
    <w:rsid w:val="009348EB"/>
    <w:rsid w:val="00935C42"/>
    <w:rsid w:val="0093769C"/>
    <w:rsid w:val="009451D0"/>
    <w:rsid w:val="00953E2A"/>
    <w:rsid w:val="00954A19"/>
    <w:rsid w:val="00962C03"/>
    <w:rsid w:val="00962FEB"/>
    <w:rsid w:val="0097137E"/>
    <w:rsid w:val="00972E8F"/>
    <w:rsid w:val="0097341B"/>
    <w:rsid w:val="00975F02"/>
    <w:rsid w:val="00977175"/>
    <w:rsid w:val="0097754E"/>
    <w:rsid w:val="00983BEF"/>
    <w:rsid w:val="009A54CC"/>
    <w:rsid w:val="009A6AFA"/>
    <w:rsid w:val="009A7F28"/>
    <w:rsid w:val="009B5782"/>
    <w:rsid w:val="009B5824"/>
    <w:rsid w:val="009D0952"/>
    <w:rsid w:val="009D3590"/>
    <w:rsid w:val="009E08E3"/>
    <w:rsid w:val="009E51A2"/>
    <w:rsid w:val="009E520A"/>
    <w:rsid w:val="009E67B7"/>
    <w:rsid w:val="00A066EA"/>
    <w:rsid w:val="00A21DF8"/>
    <w:rsid w:val="00A31910"/>
    <w:rsid w:val="00A372A0"/>
    <w:rsid w:val="00A5066A"/>
    <w:rsid w:val="00A50D7C"/>
    <w:rsid w:val="00A53102"/>
    <w:rsid w:val="00A53156"/>
    <w:rsid w:val="00A56AF9"/>
    <w:rsid w:val="00A6194C"/>
    <w:rsid w:val="00A66B65"/>
    <w:rsid w:val="00A76424"/>
    <w:rsid w:val="00A80671"/>
    <w:rsid w:val="00A909B2"/>
    <w:rsid w:val="00A9363E"/>
    <w:rsid w:val="00AB0C99"/>
    <w:rsid w:val="00AB1E95"/>
    <w:rsid w:val="00AB42FC"/>
    <w:rsid w:val="00B103C5"/>
    <w:rsid w:val="00B1267E"/>
    <w:rsid w:val="00B14DF7"/>
    <w:rsid w:val="00B1584F"/>
    <w:rsid w:val="00B15BB5"/>
    <w:rsid w:val="00B167F7"/>
    <w:rsid w:val="00B179F3"/>
    <w:rsid w:val="00B215BC"/>
    <w:rsid w:val="00B22F79"/>
    <w:rsid w:val="00B263D2"/>
    <w:rsid w:val="00B27283"/>
    <w:rsid w:val="00B37EC7"/>
    <w:rsid w:val="00B41C14"/>
    <w:rsid w:val="00B43BA7"/>
    <w:rsid w:val="00B474A6"/>
    <w:rsid w:val="00B47F46"/>
    <w:rsid w:val="00B614E4"/>
    <w:rsid w:val="00B622D5"/>
    <w:rsid w:val="00B63711"/>
    <w:rsid w:val="00B65B72"/>
    <w:rsid w:val="00B71559"/>
    <w:rsid w:val="00B74AB1"/>
    <w:rsid w:val="00BA23D9"/>
    <w:rsid w:val="00BA7BBE"/>
    <w:rsid w:val="00BC3FC3"/>
    <w:rsid w:val="00C17A3D"/>
    <w:rsid w:val="00C21828"/>
    <w:rsid w:val="00C22CE5"/>
    <w:rsid w:val="00C243F1"/>
    <w:rsid w:val="00C24E34"/>
    <w:rsid w:val="00C32E2B"/>
    <w:rsid w:val="00C469BB"/>
    <w:rsid w:val="00C473FE"/>
    <w:rsid w:val="00C532A3"/>
    <w:rsid w:val="00C561C9"/>
    <w:rsid w:val="00C66319"/>
    <w:rsid w:val="00C702F0"/>
    <w:rsid w:val="00C809E3"/>
    <w:rsid w:val="00C81C4A"/>
    <w:rsid w:val="00C92CAC"/>
    <w:rsid w:val="00CA0871"/>
    <w:rsid w:val="00CA6652"/>
    <w:rsid w:val="00CC4BE2"/>
    <w:rsid w:val="00CC547F"/>
    <w:rsid w:val="00CF07D8"/>
    <w:rsid w:val="00D000AE"/>
    <w:rsid w:val="00D04DD8"/>
    <w:rsid w:val="00D145E0"/>
    <w:rsid w:val="00D21C3A"/>
    <w:rsid w:val="00D345C5"/>
    <w:rsid w:val="00D410C6"/>
    <w:rsid w:val="00D41682"/>
    <w:rsid w:val="00D420D4"/>
    <w:rsid w:val="00D4315B"/>
    <w:rsid w:val="00D51BC2"/>
    <w:rsid w:val="00D51C54"/>
    <w:rsid w:val="00D55BC0"/>
    <w:rsid w:val="00D67316"/>
    <w:rsid w:val="00D81236"/>
    <w:rsid w:val="00D93FDA"/>
    <w:rsid w:val="00DA4B28"/>
    <w:rsid w:val="00DA7049"/>
    <w:rsid w:val="00DB0480"/>
    <w:rsid w:val="00DB530E"/>
    <w:rsid w:val="00DC209D"/>
    <w:rsid w:val="00DE0626"/>
    <w:rsid w:val="00DF188F"/>
    <w:rsid w:val="00DF2F86"/>
    <w:rsid w:val="00E07A30"/>
    <w:rsid w:val="00E143FB"/>
    <w:rsid w:val="00E15A15"/>
    <w:rsid w:val="00E15A3B"/>
    <w:rsid w:val="00E16E7D"/>
    <w:rsid w:val="00E224B1"/>
    <w:rsid w:val="00E24231"/>
    <w:rsid w:val="00E25E37"/>
    <w:rsid w:val="00E463A9"/>
    <w:rsid w:val="00E47B1B"/>
    <w:rsid w:val="00E65911"/>
    <w:rsid w:val="00E77A5A"/>
    <w:rsid w:val="00E77DC1"/>
    <w:rsid w:val="00E91F6F"/>
    <w:rsid w:val="00EA2FB3"/>
    <w:rsid w:val="00EA4F1C"/>
    <w:rsid w:val="00EA61F2"/>
    <w:rsid w:val="00EB1705"/>
    <w:rsid w:val="00EB39CF"/>
    <w:rsid w:val="00EB6D98"/>
    <w:rsid w:val="00EC12E4"/>
    <w:rsid w:val="00EC1451"/>
    <w:rsid w:val="00EC3A6A"/>
    <w:rsid w:val="00EC5AE1"/>
    <w:rsid w:val="00ED0A3E"/>
    <w:rsid w:val="00ED2425"/>
    <w:rsid w:val="00ED2EAE"/>
    <w:rsid w:val="00EE16E2"/>
    <w:rsid w:val="00EE190E"/>
    <w:rsid w:val="00EE3F78"/>
    <w:rsid w:val="00EF0DC9"/>
    <w:rsid w:val="00EF622A"/>
    <w:rsid w:val="00F26D04"/>
    <w:rsid w:val="00F2794B"/>
    <w:rsid w:val="00F40B1A"/>
    <w:rsid w:val="00F4783D"/>
    <w:rsid w:val="00F5320D"/>
    <w:rsid w:val="00F5555F"/>
    <w:rsid w:val="00F61410"/>
    <w:rsid w:val="00F71C8C"/>
    <w:rsid w:val="00F748C9"/>
    <w:rsid w:val="00F87026"/>
    <w:rsid w:val="00F953B9"/>
    <w:rsid w:val="00FA6D85"/>
    <w:rsid w:val="00FB1652"/>
    <w:rsid w:val="00FC3137"/>
    <w:rsid w:val="00FD16FF"/>
    <w:rsid w:val="00FD4F83"/>
    <w:rsid w:val="00FE21A7"/>
    <w:rsid w:val="00FE457F"/>
    <w:rsid w:val="00FF1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7"/>
    <w:pPr>
      <w:keepNext/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771C07"/>
    <w:pPr>
      <w:keepNext/>
      <w:spacing w:line="360" w:lineRule="auto"/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771C07"/>
    <w:pPr>
      <w:keepNext/>
      <w:spacing w:line="360" w:lineRule="auto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771C07"/>
    <w:pPr>
      <w:keepNext/>
      <w:spacing w:line="360" w:lineRule="auto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771C07"/>
    <w:pPr>
      <w:keepNext/>
      <w:spacing w:line="360" w:lineRule="auto"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link w:val="60"/>
    <w:qFormat/>
    <w:rsid w:val="00771C07"/>
    <w:pPr>
      <w:keepNext/>
      <w:spacing w:line="360" w:lineRule="auto"/>
      <w:jc w:val="both"/>
      <w:outlineLvl w:val="5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1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71C07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1C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71C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71C07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71C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"/>
    <w:basedOn w:val="a"/>
    <w:link w:val="a4"/>
    <w:rsid w:val="00771C07"/>
    <w:pPr>
      <w:spacing w:line="36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71C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771C07"/>
    <w:pPr>
      <w:widowControl w:val="0"/>
      <w:spacing w:after="0" w:line="480" w:lineRule="auto"/>
      <w:ind w:firstLine="56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771C07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snapToGrid w:val="0"/>
      <w:sz w:val="72"/>
      <w:szCs w:val="20"/>
      <w:lang w:eastAsia="ru-RU"/>
    </w:rPr>
  </w:style>
  <w:style w:type="paragraph" w:customStyle="1" w:styleId="FR2">
    <w:name w:val="FR2"/>
    <w:rsid w:val="00771C07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styleId="a5">
    <w:name w:val="Document Map"/>
    <w:basedOn w:val="a"/>
    <w:link w:val="a6"/>
    <w:semiHidden/>
    <w:rsid w:val="00771C07"/>
    <w:pPr>
      <w:shd w:val="clear" w:color="auto" w:fill="000080"/>
    </w:pPr>
    <w:rPr>
      <w:rFonts w:ascii="Tahoma" w:hAnsi="Tahoma"/>
    </w:rPr>
  </w:style>
  <w:style w:type="character" w:customStyle="1" w:styleId="a6">
    <w:name w:val="Схема документа Знак"/>
    <w:basedOn w:val="a0"/>
    <w:link w:val="a5"/>
    <w:semiHidden/>
    <w:rsid w:val="00771C07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FR5">
    <w:name w:val="FR5"/>
    <w:rsid w:val="00771C0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FR3">
    <w:name w:val="FR3"/>
    <w:rsid w:val="00771C07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FR4">
    <w:name w:val="FR4"/>
    <w:rsid w:val="00771C0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paragraph" w:styleId="21">
    <w:name w:val="Body Text 2"/>
    <w:basedOn w:val="a"/>
    <w:link w:val="22"/>
    <w:rsid w:val="00771C07"/>
    <w:pPr>
      <w:spacing w:line="360" w:lineRule="auto"/>
      <w:jc w:val="both"/>
    </w:pPr>
    <w:rPr>
      <w:sz w:val="26"/>
    </w:rPr>
  </w:style>
  <w:style w:type="character" w:customStyle="1" w:styleId="22">
    <w:name w:val="Основной текст 2 Знак"/>
    <w:basedOn w:val="a0"/>
    <w:link w:val="21"/>
    <w:rsid w:val="00771C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header"/>
    <w:basedOn w:val="a"/>
    <w:link w:val="a8"/>
    <w:uiPriority w:val="99"/>
    <w:rsid w:val="00771C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71C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771C07"/>
  </w:style>
  <w:style w:type="paragraph" w:styleId="aa">
    <w:name w:val="Subtitle"/>
    <w:basedOn w:val="a"/>
    <w:link w:val="ab"/>
    <w:qFormat/>
    <w:rsid w:val="00771C07"/>
    <w:pPr>
      <w:jc w:val="center"/>
    </w:pPr>
    <w:rPr>
      <w:b/>
      <w:sz w:val="28"/>
    </w:rPr>
  </w:style>
  <w:style w:type="character" w:customStyle="1" w:styleId="ab">
    <w:name w:val="Подзаголовок Знак"/>
    <w:basedOn w:val="a0"/>
    <w:link w:val="aa"/>
    <w:rsid w:val="00771C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footer"/>
    <w:basedOn w:val="a"/>
    <w:link w:val="ad"/>
    <w:rsid w:val="00771C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77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rsid w:val="00771C0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77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771C0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71C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71C0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4"/>
      <w:szCs w:val="14"/>
      <w:lang w:eastAsia="ru-RU"/>
    </w:rPr>
  </w:style>
  <w:style w:type="table" w:styleId="af0">
    <w:name w:val="Table Grid"/>
    <w:basedOn w:val="a1"/>
    <w:rsid w:val="0077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2">
    <w:name w:val="toc 1"/>
    <w:basedOn w:val="a"/>
    <w:next w:val="a"/>
    <w:autoRedefine/>
    <w:semiHidden/>
    <w:rsid w:val="00771C07"/>
    <w:pPr>
      <w:tabs>
        <w:tab w:val="right" w:leader="dot" w:pos="9628"/>
      </w:tabs>
    </w:pPr>
    <w:rPr>
      <w:noProof/>
      <w:sz w:val="21"/>
      <w:szCs w:val="21"/>
      <w:lang w:val="en-US"/>
    </w:rPr>
  </w:style>
  <w:style w:type="paragraph" w:styleId="25">
    <w:name w:val="toc 2"/>
    <w:basedOn w:val="a"/>
    <w:next w:val="a"/>
    <w:autoRedefine/>
    <w:semiHidden/>
    <w:rsid w:val="00771C07"/>
    <w:pPr>
      <w:ind w:left="200"/>
    </w:pPr>
  </w:style>
  <w:style w:type="character" w:styleId="af1">
    <w:name w:val="Hyperlink"/>
    <w:basedOn w:val="a0"/>
    <w:rsid w:val="00771C07"/>
    <w:rPr>
      <w:color w:val="0000FF"/>
      <w:u w:val="single"/>
    </w:rPr>
  </w:style>
  <w:style w:type="paragraph" w:styleId="af2">
    <w:name w:val="Title"/>
    <w:basedOn w:val="a"/>
    <w:link w:val="af3"/>
    <w:qFormat/>
    <w:rsid w:val="00771C07"/>
    <w:pPr>
      <w:jc w:val="center"/>
    </w:pPr>
    <w:rPr>
      <w:b/>
      <w:sz w:val="28"/>
    </w:rPr>
  </w:style>
  <w:style w:type="character" w:customStyle="1" w:styleId="af3">
    <w:name w:val="Название Знак"/>
    <w:basedOn w:val="a0"/>
    <w:link w:val="af2"/>
    <w:rsid w:val="00771C0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71C07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71C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71C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заголовок 1"/>
    <w:basedOn w:val="a"/>
    <w:next w:val="a"/>
    <w:rsid w:val="00795F60"/>
    <w:pPr>
      <w:keepNext/>
    </w:pPr>
    <w:rPr>
      <w:sz w:val="28"/>
    </w:rPr>
  </w:style>
  <w:style w:type="character" w:styleId="af6">
    <w:name w:val="FollowedHyperlink"/>
    <w:basedOn w:val="a0"/>
    <w:uiPriority w:val="99"/>
    <w:semiHidden/>
    <w:unhideWhenUsed/>
    <w:rsid w:val="00D145E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762D7"/>
  </w:style>
  <w:style w:type="paragraph" w:styleId="af7">
    <w:name w:val="List Paragraph"/>
    <w:basedOn w:val="a"/>
    <w:uiPriority w:val="34"/>
    <w:qFormat/>
    <w:rsid w:val="00A53102"/>
    <w:pPr>
      <w:ind w:left="720"/>
      <w:contextualSpacing/>
    </w:pPr>
  </w:style>
  <w:style w:type="character" w:customStyle="1" w:styleId="FontStyle19">
    <w:name w:val="Font Style19"/>
    <w:uiPriority w:val="99"/>
    <w:rsid w:val="00E77A5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uiPriority w:val="99"/>
    <w:rsid w:val="00E77A5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590A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E2C94-4F6A-49E1-9720-F2FAC571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2823</Words>
  <Characters>16093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УР</Company>
  <LinksUpToDate>false</LinksUpToDate>
  <CharactersWithSpaces>18879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lubimova</cp:lastModifiedBy>
  <cp:revision>2</cp:revision>
  <cp:lastPrinted>2020-05-18T13:26:00Z</cp:lastPrinted>
  <dcterms:created xsi:type="dcterms:W3CDTF">2020-05-19T11:42:00Z</dcterms:created>
  <dcterms:modified xsi:type="dcterms:W3CDTF">2020-05-19T11:42:00Z</dcterms:modified>
</cp:coreProperties>
</file>