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  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  Приложение № 1</w:t>
      </w:r>
      <w:r>
        <w:rPr>
          <w:rFonts w:ascii="Times New Roman" w:hAnsi="Times New Roman" w:cs="Times New Roman"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i/>
          <w:sz w:val="24"/>
          <w:szCs w:val="24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</w:p>
    <w:p>
      <w:pPr>
        <w:spacing w:after="0" w:line="240" w:lineRule="auto"/>
        <w:ind w:left="-709"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Основные параметры исполнения консолидированного бюджета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spacing w:after="0" w:line="240" w:lineRule="auto"/>
        <w:ind w:left="-709"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Удмуртской Республики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</w:r>
    </w:p>
    <w:p>
      <w:pPr>
        <w:spacing w:after="0" w:line="240" w:lineRule="auto"/>
        <w:ind w:left="-709" w:right="0" w:firstLine="0"/>
        <w:jc w:val="center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</w:rPr>
        <w:t xml:space="preserve">по состоянию на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01.07.2026 года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spacing w:after="0" w:line="240" w:lineRule="auto"/>
        <w:ind w:left="-709" w:right="0" w:firstLine="0"/>
        <w:jc w:val="center"/>
        <w:rPr>
          <w:rFonts w:ascii="PT Astra Serif" w:hAnsi="PT Astra Serif" w:cs="PT Astra Serif"/>
          <w:color w:val="000000"/>
          <w:sz w:val="24"/>
          <w:szCs w:val="24"/>
          <w:highlight w:val="none"/>
        </w:rPr>
      </w:pP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</w:p>
    <w:tbl>
      <w:tblPr>
        <w:tblStyle w:val="853"/>
        <w:tblW w:w="0" w:type="auto"/>
        <w:tblInd w:w="-701" w:type="dxa"/>
        <w:tblLayout w:type="fixed"/>
        <w:tblLook w:val="04A0" w:firstRow="1" w:lastRow="0" w:firstColumn="1" w:lastColumn="0" w:noHBand="0" w:noVBand="1"/>
      </w:tblPr>
      <w:tblGrid>
        <w:gridCol w:w="3685"/>
        <w:gridCol w:w="1417"/>
        <w:gridCol w:w="1276"/>
        <w:gridCol w:w="1275"/>
        <w:gridCol w:w="1418"/>
        <w:gridCol w:w="992"/>
      </w:tblGrid>
      <w:tr>
        <w:trPr>
          <w:trHeight w:val="255"/>
        </w:trPr>
        <w:tblPrEx/>
        <w:tc>
          <w:tcPr>
            <w:tcW w:w="36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Наименование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41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Годовой план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(уточненный)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, тыс. руб.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25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Факт на 01.07.2026 г.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2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Факт на 01.07.2025 г.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>
          <w:trHeight w:val="1119"/>
        </w:trPr>
        <w:tblPrEx/>
        <w:tc>
          <w:tcPr>
            <w:tcW w:w="3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4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тыс. руб.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% исполнения годового плана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тыс. руб.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Темп роста к 2025 году, %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>
          <w:trHeight w:val="43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ДОХОДЫ ВСЕГО,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в том числе: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196 466 373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90 235 226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45,9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81 340 397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504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Налоговые и неналоговые доходы,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из них: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158 745 948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71 598 320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45,1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65 109 119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37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Налог на прибыль организаций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34 600 000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15 797 742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17 398 611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90,8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1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Налог на доходы физических лиц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71 949 971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28 685 933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39,9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23 936 108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119,8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2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Акцизы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12 725 623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5 488 131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43,1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4 553 503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120,5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69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Налог на имущество организаций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7 479 879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3 948 428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52,8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3 619 199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46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Транспортный налог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1 979 258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365 620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18,5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349 608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2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Земельный налог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1 486 333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566 843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38,1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552 674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102,6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42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ind w:left="142" w:right="0" w:firstLine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Безвозмездные поступления,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  <w:p>
            <w:pPr>
              <w:shd w:val="clear" w:color="ffffff" w:themeColor="background1" w:fill="ffffff" w:themeFill="background1"/>
              <w:ind w:left="142" w:right="0" w:firstLine="0"/>
              <w:jc w:val="left"/>
              <w:rPr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в том числе: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37 720 425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18 636 907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49,4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16 231 278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598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shd w:val="clear" w:color="ffffff" w:themeColor="background1" w:fill="ffffff" w:themeFill="background1"/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Безвозмездные поступления из федерального бюджета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35 768 055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17 928 540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15 960 241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61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РАСХОДЫ ВСЕГО,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в том числе: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211 056 844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92 338 414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43,8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80 023 551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115,4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Общегосударственные вопросы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14 445 045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5 122 418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35,5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4 605 655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56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Национальная оборона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65 249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24 077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20 811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115,7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52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Национальная безопасность и правоохранительная деятельность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3 174 144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1 239 806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39,1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947 161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130,9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Национальная экономика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48 869 925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19 086 995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39,1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14 857 762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128,5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Жилищно-коммунальное хозяйство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13 175 380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4 195 295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31,8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2 020 781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207,6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Охрана окружающей среды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577 234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58 898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99 829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59,0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Образование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66 584 514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31 423 510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47,2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28 656 236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Культура и кинематография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8 899 165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3 980 580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44,7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3 813 086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Здравоохранение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15 462 212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7 884 980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7 113 860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4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Социальная политика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32 289 688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16 665 218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15 542 949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Физическая культура и спорт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5 156 931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2 305 367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44,7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1 893 007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121,8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03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Средства массовой информации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491 632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219 769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44,7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189 414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616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Обслуживание государственного и муниципального долга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1 519 308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131 500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263 000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1008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Межбюджетные трансферты общего характера бюджетам субъектов Российской Федерации и муниципальных образований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346 418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44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ДЕФИЦИТ(-), ПРОФИЦИТ(+)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-14 590 471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-2 103 187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1 316 846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Приложение № 2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spacing w:after="0" w:line="240" w:lineRule="auto"/>
        <w:ind w:left="-709" w:right="284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Основные параметры исполнения бюджета Удмуртской Республики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spacing w:after="0" w:line="240" w:lineRule="auto"/>
        <w:ind w:left="-709" w:right="284" w:firstLine="0"/>
        <w:jc w:val="center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</w:rPr>
        <w:t xml:space="preserve">по состоянию на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 01.07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.2026 года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spacing w:after="0" w:line="240" w:lineRule="auto"/>
        <w:ind w:left="-709" w:right="284" w:firstLine="0"/>
        <w:jc w:val="center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tbl>
      <w:tblPr>
        <w:tblStyle w:val="853"/>
        <w:tblW w:w="0" w:type="auto"/>
        <w:tblInd w:w="-701" w:type="dxa"/>
        <w:tblLayout w:type="fixed"/>
        <w:tblLook w:val="04A0" w:firstRow="1" w:lastRow="0" w:firstColumn="1" w:lastColumn="0" w:noHBand="0" w:noVBand="1"/>
      </w:tblPr>
      <w:tblGrid>
        <w:gridCol w:w="3685"/>
        <w:gridCol w:w="1417"/>
        <w:gridCol w:w="1276"/>
        <w:gridCol w:w="1276"/>
        <w:gridCol w:w="1416"/>
        <w:gridCol w:w="1"/>
        <w:gridCol w:w="992"/>
      </w:tblGrid>
      <w:tr>
        <w:trPr>
          <w:trHeight w:val="585"/>
        </w:trPr>
        <w:tblPrEx/>
        <w:tc>
          <w:tcPr>
            <w:tcW w:w="36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W w:w="141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Годовой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план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(уточненный),</w:t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тыс. руб.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W w:w="25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Факт на 01.07.2026 г.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W w:w="240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Факт на 01.07.2025 г.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</w:tr>
      <w:tr>
        <w:trPr>
          <w:trHeight w:val="1335"/>
        </w:trPr>
        <w:tblPrEx/>
        <w:tc>
          <w:tcPr>
            <w:tcW w:w="3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4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тыс. руб.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% исполнения годового плана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тыс. руб.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Темп </w:t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роста </w:t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к 2025 </w:t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году, %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ДОХОДЫ ВСЕГО,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в том числе: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164 839 995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78 248 906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47,5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70 432 810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589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Налоговые и неналоговые доходы,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из них: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128 413 871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59 570 265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46,4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54 086 585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Налог на прибыль организаций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34 600 000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15 797 742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17 398 611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90,8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Налог на доходы физических лиц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50 724 000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20 316 893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40,1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16 872 889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120,4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51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Акцизы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11 370 732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4 886 625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43,0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4 055 033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120,5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Налог на имущество организаций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7 479 879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3 948 428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52,8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3 619 199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Транспортный налог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1 979 258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365 620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349 608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Безвозмездные поступления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ind w:left="142" w:right="0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в том числе: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36 426 124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18 678 641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16 346 225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9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Безвозмездные поступления из федерального бюджета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35 768 055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17 928 540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15 960 241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11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РАСХОДЫ ВСЕГО,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в том числе: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176 971 111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78 047 923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44,1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68 308 439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Общегосударственные вопросы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6 871 169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1 915 369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27,9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1 826 533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Национальная оборона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65 099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23 928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20 763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115,2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Национальная безопасность и правоохранительная деятельность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2 716 362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1 034 559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38,1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784 907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131,8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436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Национальная экономика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41 868 001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16 371 571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39,1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13 121 795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124,8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Жилищно-коммунальное хозяйство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8 174 833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2 566 322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31,4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1 237 895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207,3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Охрана окружающей среды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330 165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41 107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12,5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19 200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214,1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Образование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52 772 370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24 397 209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46,2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22 930 531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Культура и кинематография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3 284 750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1 562 334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47,6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1 544 731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101,1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Здравоохранение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15 459 395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7 884 543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7 113 334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Социальная политика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31 770 037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16 463 173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51,8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15 329 396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107,4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Физическая культура и спорт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3 045 400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1 329 031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43,6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1 137 337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116,9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Средства массовой информации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491 102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219 547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44,7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188 829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Обслуживание государственного и муниципального долга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1 435 313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131 500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263 000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50,0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570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 Межбюджетные трансферты общего характера бюджетам субъектов Российской Федерации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и муниципальных образований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8 687 115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4 107 731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47,3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2 790 191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147,2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75"/>
        </w:trPr>
        <w:tblPrEx/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ДЕФИЦИТ(-), ПРОФИЦИТ(+)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-12 131 116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200 983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2 124 371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spacing w:after="0" w:line="240" w:lineRule="auto"/>
        <w:ind w:left="-709" w:right="284" w:firstLine="0"/>
        <w:jc w:val="center"/>
        <w:rPr>
          <w:rFonts w:ascii="PT Astra Serif" w:hAnsi="PT Astra Serif" w:cs="PT Astra Serif"/>
          <w:color w:val="000000"/>
          <w:sz w:val="26"/>
          <w:szCs w:val="26"/>
          <w:highlight w:val="none"/>
        </w:rPr>
      </w:pPr>
      <w:r>
        <w:rPr>
          <w:rFonts w:ascii="PT Astra Serif" w:hAnsi="PT Astra Serif" w:cs="PT Astra Serif"/>
          <w:color w:val="000000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/>
          <w:sz w:val="26"/>
          <w:szCs w:val="26"/>
          <w:highlight w:val="none"/>
        </w:rPr>
      </w:r>
    </w:p>
    <w:p>
      <w:pPr>
        <w:spacing w:after="0" w:line="240" w:lineRule="auto"/>
        <w:ind w:left="-709" w:right="284" w:firstLine="0"/>
        <w:jc w:val="center"/>
        <w:rPr>
          <w:rFonts w:ascii="PT Astra Serif" w:hAnsi="PT Astra Serif" w:cs="PT Astra Serif"/>
          <w:color w:val="000000"/>
          <w:sz w:val="26"/>
          <w:szCs w:val="26"/>
          <w:highlight w:val="none"/>
        </w:rPr>
      </w:pPr>
      <w:r>
        <w:rPr>
          <w:rFonts w:ascii="PT Astra Serif" w:hAnsi="PT Astra Serif" w:cs="PT Astra Serif"/>
          <w:bCs/>
          <w:color w:val="000000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/>
          <w:sz w:val="26"/>
          <w:szCs w:val="26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sz w:val="24"/>
          <w:szCs w:val="24"/>
          <w:highlight w:val="none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 Прило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жение 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№ 3</w:t>
      </w:r>
      <w:r>
        <w:rPr>
          <w:rFonts w:ascii="Times New Roman" w:hAnsi="Times New Roman" w:cs="Times New Roman"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i/>
          <w:sz w:val="24"/>
          <w:szCs w:val="24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</w:p>
    <w:p>
      <w:pPr>
        <w:tabs>
          <w:tab w:val="left" w:pos="9780" w:leader="none"/>
        </w:tabs>
        <w:spacing w:after="0" w:line="240" w:lineRule="auto"/>
        <w:ind w:left="-709"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Информация об исполнении бюджетов муниципальных и городских округов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tabs>
          <w:tab w:val="left" w:pos="9780" w:leader="none"/>
        </w:tabs>
        <w:spacing w:after="0" w:line="240" w:lineRule="auto"/>
        <w:ind w:left="-709" w:right="0" w:firstLine="0"/>
        <w:jc w:val="center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</w:rPr>
        <w:t xml:space="preserve">по состоянию на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01.07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.2026 год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  <w:t xml:space="preserve">а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spacing w:after="0" w:line="240" w:lineRule="auto"/>
        <w:ind w:left="0" w:right="-425"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ind w:left="0" w:right="-283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eastAsia="ru-RU"/>
        </w:rPr>
        <w:t xml:space="preserve">тыс.рублей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tbl>
      <w:tblPr>
        <w:tblStyle w:val="853"/>
        <w:tblW w:w="0" w:type="auto"/>
        <w:tblInd w:w="-985" w:type="dxa"/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134"/>
        <w:gridCol w:w="1134"/>
        <w:gridCol w:w="567"/>
        <w:gridCol w:w="1133"/>
        <w:gridCol w:w="1134"/>
        <w:gridCol w:w="567"/>
        <w:gridCol w:w="1134"/>
        <w:gridCol w:w="567"/>
        <w:gridCol w:w="992"/>
      </w:tblGrid>
      <w:tr>
        <w:trPr>
          <w:trHeight w:val="325"/>
        </w:trPr>
        <w:tblPrEx/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18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 xml:space="preserve">Наименование района, города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W w:w="5669" w:type="dxa"/>
            <w:gridSpan w:val="6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 xml:space="preserve">Доходы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none"/>
              </w:rPr>
              <w:t xml:space="preserve">Расходы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  <w:lang w:eastAsia="ru-RU"/>
              </w:rPr>
              <w:t xml:space="preserve">Дефи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  <w:lang w:eastAsia="ru-RU"/>
              </w:rPr>
              <w:t xml:space="preserve">цит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  <w:lang w:eastAsia="ru-RU"/>
              </w:rPr>
              <w:t xml:space="preserve">(-)/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  <w:lang w:eastAsia="ru-RU"/>
              </w:rPr>
              <w:t xml:space="preserve">профи-цит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none"/>
                <w:lang w:eastAsia="ru-RU"/>
              </w:rPr>
              <w:t xml:space="preserve">(+)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r>
          </w:p>
        </w:tc>
      </w:tr>
      <w:tr>
        <w:trPr>
          <w:trHeight w:val="618"/>
        </w:trPr>
        <w:tblPrEx/>
        <w:tc>
          <w:tcPr>
            <w:tcW w:w="4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184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283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Налоговые и неналоговые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доходы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W w:w="113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2"/>
                <w:szCs w:val="22"/>
                <w:highlight w:val="none"/>
              </w:rPr>
              <w:t xml:space="preserve">Безвоз-мездные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2"/>
                <w:szCs w:val="22"/>
                <w:highlight w:val="none"/>
              </w:rPr>
              <w:t xml:space="preserve">поступ-ления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none"/>
              </w:rPr>
              <w:t xml:space="preserve">Общая сумма доходов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btLr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  <w:t xml:space="preserve">Темп роста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  <w:t xml:space="preserve">к 2025 году, %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Факт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btLr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  <w:t xml:space="preserve">Темп роста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2"/>
                <w:szCs w:val="22"/>
                <w:highlight w:val="none"/>
              </w:rPr>
              <w:t xml:space="preserve">к 2025 году, %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</w:tr>
      <w:tr>
        <w:trPr>
          <w:trHeight w:val="1577"/>
        </w:trPr>
        <w:tblPrEx/>
        <w:tc>
          <w:tcPr>
            <w:tcW w:w="4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184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План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Факт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btLr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b w:val="0"/>
                <w:bCs/>
                <w:i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Темп роста </w:t>
            </w:r>
            <w:r>
              <w:rPr>
                <w:rFonts w:ascii="Times New Roman" w:hAnsi="Times New Roman" w:cs="Times New Roman"/>
                <w:b w:val="0"/>
                <w:bCs/>
                <w:i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 w:val="0"/>
                <w:bCs/>
                <w:i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к 2025 году,%</w:t>
            </w:r>
            <w:r>
              <w:rPr>
                <w:rFonts w:ascii="Times New Roman" w:hAnsi="Times New Roman" w:cs="Times New Roman"/>
                <w:b w:val="0"/>
                <w:bCs/>
                <w:i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W w:w="113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5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5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  <w:tc>
          <w:tcPr>
            <w:tcW w:w="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/>
        </w:tc>
      </w:tr>
      <w:tr>
        <w:trPr>
          <w:trHeight w:val="268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Алнашский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398 194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164 173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603 473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767 647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778 027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-10 380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253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Балезинский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613 388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254 960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1 188 010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1 442 970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1 454 709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-11 738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Вавожский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417 072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177 176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481 326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658 502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672 500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-13 998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30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Воткинский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936 799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364 582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513 478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878 060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929 217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-51 157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Глазовский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358 966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166 258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343 450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509 708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550 354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-40 646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Граховский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156 802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65 217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265 387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330 603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332 705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-2 102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Дебесский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306 481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122 650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404 945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527 595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537 457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-9 862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Завьяловский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2 788 629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1 072 200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1 401 960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2 474 161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2 552 271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-78 110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Игринский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865 922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380 167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658 813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1 038 979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1 104 209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-65 230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Камбарский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452 692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184 436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558 911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743 347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143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783 498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-40 151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Каракулинский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370 351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152 031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253 450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405 481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415 620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-10 139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Кезский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446 938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180 165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460 026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640 191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662 745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-22 553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Кизнерский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319 881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132 933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577 866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710 799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724 790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-13 990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Киясовский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193 504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73 858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303 941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377 799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381 910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-4 111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Красногорский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163 640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69 395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269 105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338 500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362 076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-23 576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М.Пургинский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536 362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233 999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677 886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911 885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942 865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-30 980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Можгинский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531 475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217 528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482 900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700 428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744 007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-43 579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Сарапульский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620 558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263 620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513 737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777 358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814 134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-36 776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Селтинский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291 799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122 820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853 352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976 173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149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1 008 445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-32 272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Сюмсинский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292 120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113 470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319 752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433 222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451 566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-18 344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Увинский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1 330 233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518 783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1 297 483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1 816 266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1 931 678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-115 411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Шарканский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504 941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214 845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575 609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790 455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818 068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-27 614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Юкаменский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169 971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71 236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256 117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327 353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336 388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-9 035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Як.-Бодьинский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599 526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261 553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459 203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720 756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743 760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-23 004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Ярский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266 007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102 168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320 339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422 507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418 023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4 484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г.Ижевск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12 806 248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4 893 828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9 593 910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14 487 738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15 743 693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-1 255 954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г.Сарапул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1 055 292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452 027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1 425 314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1 877 341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1 967 085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-89 745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г.Воткинск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1 184 750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485 525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1 405 958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1 891 483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1 949 488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-58 005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29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г.Глазов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902 925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353 399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105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1 566 075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1 919 474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2 033 872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-114 398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0"/>
        </w:trPr>
        <w:tblPrEx/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30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г.Можга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450 609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163 053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1 294 262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1 457 315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1 513 107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131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-55 792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289"/>
        </w:trPr>
        <w:tblPrEx/>
        <w:tc>
          <w:tcPr>
            <w:tcW w:w="22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shd w:val="clear" w:color="auto" w:fill="auto"/>
              <w:ind w:left="0" w:right="0" w:firstLine="142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ВСЕГО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30 332 076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12 028 054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  <w:highlight w:val="none"/>
              </w:rPr>
              <w:t xml:space="preserve">109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highlight w:val="none"/>
              </w:rPr>
            </w:r>
          </w:p>
        </w:tc>
        <w:tc>
          <w:tcPr>
            <w:tcW w:w="1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29 326 040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41 354 094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112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43 658 265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-2 304 170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lang w:eastAsia="ru-RU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rFonts w:ascii="PT Astra Serif" w:hAnsi="PT Astra Serif" w:cs="PT Astra Serif"/>
          <w:color w:val="000000"/>
          <w:sz w:val="24"/>
          <w:szCs w:val="24"/>
        </w:rPr>
      </w:r>
    </w:p>
    <w:p>
      <w:pPr>
        <w:spacing w:after="0" w:line="240" w:lineRule="auto"/>
        <w:jc w:val="right"/>
        <w:rPr>
          <w:rFonts w:ascii="PT Astra Serif" w:hAnsi="PT Astra Serif" w:cs="PT Astra Serif"/>
          <w:i/>
          <w:sz w:val="24"/>
          <w:szCs w:val="24"/>
        </w:rPr>
      </w:pPr>
      <w:r>
        <w:rPr>
          <w:rFonts w:ascii="PT Astra Serif" w:hAnsi="PT Astra Serif" w:eastAsia="PT Astra Serif" w:cs="PT Astra Serif"/>
          <w:i/>
          <w:sz w:val="24"/>
          <w:szCs w:val="24"/>
        </w:rPr>
      </w:r>
      <w:r>
        <w:rPr>
          <w:rFonts w:ascii="PT Astra Serif" w:hAnsi="PT Astra Serif" w:cs="PT Astra Serif"/>
          <w:i/>
          <w:sz w:val="24"/>
          <w:szCs w:val="24"/>
        </w:rPr>
      </w:r>
      <w:r>
        <w:rPr>
          <w:rFonts w:ascii="PT Astra Serif" w:hAnsi="PT Astra Serif" w:cs="PT Astra Serif"/>
          <w:i/>
          <w:sz w:val="24"/>
          <w:szCs w:val="24"/>
        </w:rPr>
      </w:r>
    </w:p>
    <w:p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  <w:t xml:space="preserve">Приложение № 4</w:t>
      </w:r>
      <w:r>
        <w:rPr>
          <w:rFonts w:ascii="Times New Roman" w:hAnsi="Times New Roman" w:cs="Times New Roman"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i/>
          <w:sz w:val="24"/>
          <w:szCs w:val="24"/>
          <w:highlight w:val="none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b/>
          <w:bCs/>
          <w:color w:val="000000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  <w:lang w:eastAsia="ru-RU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Информация об объеме средств, предусмотренных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в бюджете Удмуртской Республики в 2026 году на реализацию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региональных проектов, обеспечивающих достижение целей, показателей и результатов федеральных проектов, а также кассовых расходах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по состоянию на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lang w:eastAsia="ru-RU"/>
        </w:rPr>
        <w:t xml:space="preserve"> 01.07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lang w:eastAsia="ru-RU"/>
        </w:rPr>
        <w:t xml:space="preserve">.2026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lang w:eastAsia="ru-RU"/>
        </w:rPr>
        <w:t xml:space="preserve"> года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  <w14:ligatures w14:val="none"/>
        </w:rPr>
      </w:r>
    </w:p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0"/>
          <w:szCs w:val="20"/>
          <w:highlight w:val="none"/>
          <w14:ligatures w14:val="none"/>
        </w:rPr>
      </w:pPr>
      <w:r>
        <w:rPr>
          <w:rFonts w:ascii="PT Astra Serif" w:hAnsi="PT Astra Serif" w:cs="PT Astra Serif"/>
          <w:color w:val="000000"/>
          <w:sz w:val="26"/>
          <w:szCs w:val="26"/>
          <w:highlight w:val="none"/>
          <w14:ligatures w14:val="none"/>
        </w:rPr>
      </w:r>
      <w:r>
        <w:rPr>
          <w:rFonts w:ascii="PT Astra Serif" w:hAnsi="PT Astra Serif" w:cs="PT Astra Serif"/>
          <w:color w:val="000000"/>
          <w:sz w:val="20"/>
          <w:szCs w:val="20"/>
          <w:highlight w:val="none"/>
          <w14:ligatures w14:val="none"/>
        </w:rPr>
      </w:r>
      <w:r>
        <w:rPr>
          <w:rFonts w:ascii="PT Astra Serif" w:hAnsi="PT Astra Serif" w:cs="PT Astra Serif"/>
          <w:color w:val="000000"/>
          <w:sz w:val="20"/>
          <w:szCs w:val="20"/>
          <w:highlight w:val="none"/>
          <w14:ligatures w14:val="none"/>
        </w:rPr>
      </w:r>
    </w:p>
    <w:p>
      <w:pPr>
        <w:spacing w:after="0" w:line="240" w:lineRule="auto"/>
        <w:ind w:left="0" w:right="-283" w:firstLine="0"/>
        <w:jc w:val="right"/>
        <w:rPr>
          <w:rFonts w:ascii="Times New Roman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2"/>
          <w:u w:val="none"/>
          <w:vertAlign w:val="baseline"/>
        </w:rPr>
        <w:t xml:space="preserve">тыс. рублей</w:t>
      </w:r>
      <w:r>
        <w:rPr>
          <w:rFonts w:ascii="Times New Roman" w:hAnsi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cs="Times New Roman"/>
          <w:color w:val="000000"/>
          <w:sz w:val="26"/>
          <w:szCs w:val="26"/>
          <w14:ligatures w14:val="none"/>
        </w:rPr>
      </w:r>
    </w:p>
    <w:tbl>
      <w:tblPr>
        <w:tblStyle w:val="853"/>
        <w:tblW w:w="0" w:type="auto"/>
        <w:tblInd w:w="-985" w:type="dxa"/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1134"/>
        <w:gridCol w:w="1134"/>
        <w:gridCol w:w="1134"/>
        <w:gridCol w:w="1134"/>
        <w:gridCol w:w="1134"/>
        <w:gridCol w:w="992"/>
      </w:tblGrid>
      <w:tr>
        <w:trPr>
          <w:trHeight w:val="304"/>
        </w:trPr>
        <w:tblPrEx/>
        <w:tc>
          <w:tcPr>
            <w:tcW w:w="297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3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Уточненный план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3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Кассовый расход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Испол-нение плана, %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>
          <w:trHeight w:val="269"/>
        </w:trPr>
        <w:tblPrEx/>
        <w:tc>
          <w:tcPr>
            <w:tcW w:w="297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ВСЕГО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2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ВСЕГО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2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0"/>
        </w:trPr>
        <w:tblPrEx/>
        <w:tc>
          <w:tcPr>
            <w:tcW w:w="297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ФБ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УР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ФБ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УР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291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bottom"/>
          </w:tcPr>
          <w:p>
            <w:pPr>
              <w:ind w:left="142" w:right="0" w:firstLine="0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Итого: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23 604 396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14 040 282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9 564 114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8 858 760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5 961 451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2 897 309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37,5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51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"БЕСПИЛОТНЫЕ АВИАЦИОННЫЕ СИСТЕМЫ"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976 274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956 748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19 525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976 274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956 748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19 525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100,0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765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"ПРОДОЛЖИТЕЛЬНАЯ И АКТИВНАЯ ЖИЗНЬ"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3 072 713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1 593 863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1 478 850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1 694 307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642 370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1 051 937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55,1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102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"ТЕХНОЛОГИЧЕСКОЕ ОБЕСПЕЧЕНИЕ ПРОДОВОЛЬСТВЕННОЙ БЕЗОПАСНОСТИ"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947 039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928 098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18 941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10 000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9 800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200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1,1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86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"ИНФРАСТРУКТУРА ДЛЯ ЖИЗНИ"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11 352 099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5 500 970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5 851 129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2 664 464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1 624 856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1 039 608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23,5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285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 "КАДРЫ"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25 662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25 148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513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15 036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14 736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301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58,6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765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"МЕЖДУНАРОДНАЯ КООПЕРАЦИЯ И ЭКСПОРТ"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74 738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74 738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44 932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44 932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60,1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51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"ТУРИЗМ И ГОСТЕПРИИМСТВО"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178 383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174 816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3 568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151 582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148 550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3 032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85,0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765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"ЭКОНОМИКА ДАННЫХ </w:t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И ЦИФРОВАЯ ТРАНСФОРМАЦИЯ ГОСУДАРСТВА"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97 575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95 592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1 983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0,0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51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"ЭКОЛОГИЧЕСКОЕ БЛАГОПОЛУЧИЕ"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76 186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74 565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1 621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59 544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59 544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78,2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51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"ЭФФЕКТИВНАЯ И КОНКУРЕНТНАЯ ЭКОНОМИКА"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539 193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397 269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141 924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522 697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397 269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125 428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96,9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510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"МОЛОДЕЖЬ И ДЕТИ"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3 192 170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2 503 264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688 906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1 565 179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1 412 876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152 302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49,0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  <w:tr>
        <w:trPr>
          <w:trHeight w:val="285"/>
        </w:trPr>
        <w:tblPrEx/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Национальный проект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"СЕМЬЯ"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3 072 365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1 789 948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1 282 417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1 154 745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694 701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460 044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37,6</w:t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4"/>
                <w:szCs w:val="24"/>
                <w:highlight w:val="none"/>
              </w:rPr>
            </w:r>
          </w:p>
        </w:tc>
      </w:tr>
    </w:tbl>
    <w:p>
      <w:pPr>
        <w:spacing w:after="0" w:line="240" w:lineRule="auto"/>
        <w:jc w:val="center"/>
        <w:rPr>
          <w:rFonts w:ascii="PT Astra Serif" w:hAnsi="PT Astra Serif" w:cs="PT Astra Serif"/>
          <w:color w:val="000000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color w:val="000000"/>
          <w:sz w:val="26"/>
          <w:szCs w:val="26"/>
          <w:highlight w:val="none"/>
          <w14:ligatures w14:val="none"/>
        </w:rPr>
      </w:r>
      <w:r>
        <w:rPr>
          <w:rFonts w:ascii="PT Astra Serif" w:hAnsi="PT Astra Serif" w:cs="PT Astra Serif"/>
          <w:color w:val="000000"/>
          <w:sz w:val="26"/>
          <w:szCs w:val="26"/>
          <w:highlight w:val="none"/>
          <w14:ligatures w14:val="none"/>
        </w:rPr>
      </w:r>
      <w:r>
        <w:rPr>
          <w:rFonts w:ascii="PT Astra Serif" w:hAnsi="PT Astra Serif" w:cs="PT Astra Serif"/>
          <w:color w:val="000000"/>
          <w:sz w:val="26"/>
          <w:szCs w:val="26"/>
          <w:highlight w:val="none"/>
          <w14:ligatures w14:val="none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none"/>
          <w:lang w:eastAsia="ru-RU"/>
        </w:rPr>
        <w:t xml:space="preserve">______________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709" w:right="851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 w:default="1">
    <w:name w:val="Normal"/>
    <w:qFormat/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character" w:styleId="659" w:customStyle="1">
    <w:name w:val="Heading 1 Char"/>
    <w:basedOn w:val="656"/>
    <w:link w:val="676"/>
    <w:uiPriority w:val="9"/>
    <w:rPr>
      <w:rFonts w:ascii="Arial" w:hAnsi="Arial" w:eastAsia="Arial" w:cs="Arial"/>
      <w:sz w:val="40"/>
      <w:szCs w:val="40"/>
    </w:rPr>
  </w:style>
  <w:style w:type="character" w:styleId="660" w:customStyle="1">
    <w:name w:val="Heading 2 Char"/>
    <w:basedOn w:val="656"/>
    <w:link w:val="677"/>
    <w:uiPriority w:val="9"/>
    <w:rPr>
      <w:rFonts w:ascii="Arial" w:hAnsi="Arial" w:eastAsia="Arial" w:cs="Arial"/>
      <w:sz w:val="34"/>
    </w:rPr>
  </w:style>
  <w:style w:type="character" w:styleId="661" w:customStyle="1">
    <w:name w:val="Heading 3 Char"/>
    <w:basedOn w:val="656"/>
    <w:link w:val="678"/>
    <w:uiPriority w:val="9"/>
    <w:rPr>
      <w:rFonts w:ascii="Arial" w:hAnsi="Arial" w:eastAsia="Arial" w:cs="Arial"/>
      <w:sz w:val="30"/>
      <w:szCs w:val="30"/>
    </w:rPr>
  </w:style>
  <w:style w:type="character" w:styleId="662" w:customStyle="1">
    <w:name w:val="Heading 4 Char"/>
    <w:basedOn w:val="656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663" w:customStyle="1">
    <w:name w:val="Heading 5 Char"/>
    <w:basedOn w:val="656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664" w:customStyle="1">
    <w:name w:val="Heading 6 Char"/>
    <w:basedOn w:val="656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665" w:customStyle="1">
    <w:name w:val="Heading 7 Char"/>
    <w:basedOn w:val="656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6" w:customStyle="1">
    <w:name w:val="Heading 8 Char"/>
    <w:basedOn w:val="656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667" w:customStyle="1">
    <w:name w:val="Heading 9 Char"/>
    <w:basedOn w:val="656"/>
    <w:link w:val="684"/>
    <w:uiPriority w:val="9"/>
    <w:rPr>
      <w:rFonts w:ascii="Arial" w:hAnsi="Arial" w:eastAsia="Arial" w:cs="Arial"/>
      <w:i/>
      <w:iCs/>
      <w:sz w:val="21"/>
      <w:szCs w:val="21"/>
    </w:rPr>
  </w:style>
  <w:style w:type="character" w:styleId="668" w:customStyle="1">
    <w:name w:val="Title Char"/>
    <w:basedOn w:val="656"/>
    <w:link w:val="696"/>
    <w:uiPriority w:val="10"/>
    <w:rPr>
      <w:sz w:val="48"/>
      <w:szCs w:val="48"/>
    </w:rPr>
  </w:style>
  <w:style w:type="character" w:styleId="669" w:customStyle="1">
    <w:name w:val="Subtitle Char"/>
    <w:basedOn w:val="656"/>
    <w:link w:val="698"/>
    <w:uiPriority w:val="11"/>
    <w:rPr>
      <w:sz w:val="24"/>
      <w:szCs w:val="24"/>
    </w:rPr>
  </w:style>
  <w:style w:type="character" w:styleId="670" w:customStyle="1">
    <w:name w:val="Quote Char"/>
    <w:link w:val="700"/>
    <w:uiPriority w:val="29"/>
    <w:rPr>
      <w:i/>
    </w:rPr>
  </w:style>
  <w:style w:type="character" w:styleId="671" w:customStyle="1">
    <w:name w:val="Intense Quote Char"/>
    <w:link w:val="702"/>
    <w:uiPriority w:val="30"/>
    <w:rPr>
      <w:i/>
    </w:rPr>
  </w:style>
  <w:style w:type="character" w:styleId="672" w:customStyle="1">
    <w:name w:val="Header Char"/>
    <w:basedOn w:val="656"/>
    <w:link w:val="704"/>
    <w:uiPriority w:val="99"/>
  </w:style>
  <w:style w:type="character" w:styleId="673" w:customStyle="1">
    <w:name w:val="Caption Char"/>
    <w:link w:val="706"/>
    <w:uiPriority w:val="99"/>
  </w:style>
  <w:style w:type="character" w:styleId="674" w:customStyle="1">
    <w:name w:val="Footnote Text Char"/>
    <w:link w:val="836"/>
    <w:uiPriority w:val="99"/>
    <w:rPr>
      <w:sz w:val="18"/>
    </w:rPr>
  </w:style>
  <w:style w:type="character" w:styleId="675" w:customStyle="1">
    <w:name w:val="Endnote Text Char"/>
    <w:link w:val="839"/>
    <w:uiPriority w:val="99"/>
    <w:rPr>
      <w:sz w:val="20"/>
    </w:rPr>
  </w:style>
  <w:style w:type="paragraph" w:styleId="676" w:customStyle="1">
    <w:name w:val="Heading 1"/>
    <w:basedOn w:val="655"/>
    <w:next w:val="655"/>
    <w:link w:val="685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7" w:customStyle="1">
    <w:name w:val="Heading 2"/>
    <w:basedOn w:val="655"/>
    <w:next w:val="655"/>
    <w:link w:val="686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678" w:customStyle="1">
    <w:name w:val="Heading 3"/>
    <w:basedOn w:val="655"/>
    <w:next w:val="655"/>
    <w:link w:val="687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9" w:customStyle="1">
    <w:name w:val="Heading 4"/>
    <w:basedOn w:val="655"/>
    <w:next w:val="655"/>
    <w:link w:val="688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0" w:customStyle="1">
    <w:name w:val="Heading 5"/>
    <w:basedOn w:val="655"/>
    <w:next w:val="655"/>
    <w:link w:val="689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1" w:customStyle="1">
    <w:name w:val="Heading 6"/>
    <w:basedOn w:val="655"/>
    <w:next w:val="655"/>
    <w:link w:val="69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682" w:customStyle="1">
    <w:name w:val="Heading 7"/>
    <w:basedOn w:val="655"/>
    <w:next w:val="655"/>
    <w:link w:val="691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3" w:customStyle="1">
    <w:name w:val="Heading 8"/>
    <w:basedOn w:val="655"/>
    <w:next w:val="655"/>
    <w:link w:val="692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684" w:customStyle="1">
    <w:name w:val="Heading 9"/>
    <w:basedOn w:val="655"/>
    <w:next w:val="655"/>
    <w:link w:val="693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customStyle="1">
    <w:name w:val="Заголовок 1 Знак"/>
    <w:basedOn w:val="656"/>
    <w:link w:val="676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56"/>
    <w:link w:val="677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56"/>
    <w:link w:val="678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56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56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56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56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56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56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655"/>
    <w:uiPriority w:val="34"/>
    <w:qFormat/>
    <w:pPr>
      <w:ind w:left="720"/>
      <w:contextualSpacing/>
    </w:pPr>
  </w:style>
  <w:style w:type="paragraph" w:styleId="695">
    <w:name w:val="No Spacing"/>
    <w:uiPriority w:val="1"/>
    <w:qFormat/>
    <w:pPr>
      <w:spacing w:after="0" w:line="240" w:lineRule="auto"/>
    </w:pPr>
  </w:style>
  <w:style w:type="paragraph" w:styleId="696">
    <w:name w:val="Title"/>
    <w:basedOn w:val="655"/>
    <w:next w:val="655"/>
    <w:link w:val="697"/>
    <w:uiPriority w:val="10"/>
    <w:qFormat/>
    <w:pPr>
      <w:spacing w:before="300"/>
      <w:contextualSpacing/>
    </w:pPr>
    <w:rPr>
      <w:sz w:val="48"/>
      <w:szCs w:val="48"/>
    </w:rPr>
  </w:style>
  <w:style w:type="character" w:styleId="697" w:customStyle="1">
    <w:name w:val="Название Знак"/>
    <w:basedOn w:val="656"/>
    <w:link w:val="696"/>
    <w:uiPriority w:val="10"/>
    <w:rPr>
      <w:sz w:val="48"/>
      <w:szCs w:val="48"/>
    </w:rPr>
  </w:style>
  <w:style w:type="paragraph" w:styleId="698">
    <w:name w:val="Subtitle"/>
    <w:basedOn w:val="655"/>
    <w:next w:val="655"/>
    <w:link w:val="699"/>
    <w:uiPriority w:val="11"/>
    <w:qFormat/>
    <w:pPr>
      <w:spacing w:before="200"/>
    </w:pPr>
    <w:rPr>
      <w:sz w:val="24"/>
      <w:szCs w:val="24"/>
    </w:rPr>
  </w:style>
  <w:style w:type="character" w:styleId="699" w:customStyle="1">
    <w:name w:val="Подзаголовок Знак"/>
    <w:basedOn w:val="656"/>
    <w:link w:val="698"/>
    <w:uiPriority w:val="11"/>
    <w:rPr>
      <w:sz w:val="24"/>
      <w:szCs w:val="24"/>
    </w:rPr>
  </w:style>
  <w:style w:type="paragraph" w:styleId="700">
    <w:name w:val="Quote"/>
    <w:basedOn w:val="655"/>
    <w:next w:val="655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55"/>
    <w:next w:val="655"/>
    <w:link w:val="7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paragraph" w:styleId="704" w:customStyle="1">
    <w:name w:val="Header"/>
    <w:basedOn w:val="655"/>
    <w:link w:val="70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5" w:customStyle="1">
    <w:name w:val="Верхний колонтитул Знак"/>
    <w:basedOn w:val="656"/>
    <w:link w:val="704"/>
    <w:uiPriority w:val="99"/>
  </w:style>
  <w:style w:type="paragraph" w:styleId="706" w:customStyle="1">
    <w:name w:val="Footer"/>
    <w:basedOn w:val="655"/>
    <w:link w:val="70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7" w:customStyle="1">
    <w:name w:val="Footer Char"/>
    <w:basedOn w:val="656"/>
    <w:uiPriority w:val="99"/>
  </w:style>
  <w:style w:type="paragraph" w:styleId="708" w:customStyle="1">
    <w:name w:val="Caption"/>
    <w:basedOn w:val="655"/>
    <w:next w:val="655"/>
    <w:link w:val="67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9" w:customStyle="1">
    <w:name w:val="Нижний колонтитул Знак"/>
    <w:link w:val="706"/>
    <w:uiPriority w:val="99"/>
  </w:style>
  <w:style w:type="table" w:styleId="710" w:customStyle="1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6" w:customStyle="1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4" w:customStyle="1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5" w:customStyle="1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6" w:customStyle="1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7" w:customStyle="1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8" w:customStyle="1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9" w:customStyle="1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0" w:customStyle="1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1" w:customStyle="1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2" w:customStyle="1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3" w:customStyle="1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4" w:customStyle="1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5" w:customStyle="1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6" w:customStyle="1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7" w:customStyle="1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9" w:customStyle="1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0" w:customStyle="1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1" w:customStyle="1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2" w:customStyle="1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3" w:customStyle="1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4" w:customStyle="1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45" w:customStyle="1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746" w:customStyle="1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747" w:customStyle="1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748" w:customStyle="1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749" w:customStyle="1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750" w:customStyle="1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751" w:customStyle="1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3" w:customStyle="1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4" w:customStyle="1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5" w:customStyle="1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6" w:customStyle="1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 w:customStyle="1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9" w:customStyle="1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0" w:customStyle="1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1" w:customStyle="1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2" w:customStyle="1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3" w:customStyle="1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 w:customStyle="1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 w:customStyle="1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2" w:customStyle="1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3" w:customStyle="1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4" w:customStyle="1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5" w:customStyle="1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6" w:customStyle="1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7" w:customStyle="1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8" w:customStyle="1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9" w:customStyle="1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0" w:customStyle="1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1" w:customStyle="1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2" w:customStyle="1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3" w:customStyle="1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4" w:customStyle="1">
    <w:name w:val="Lined - Accent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6" w:customStyle="1">
    <w:name w:val="Lined - Accent 2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7" w:customStyle="1">
    <w:name w:val="Lined - Accent 3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8" w:customStyle="1">
    <w:name w:val="Lined - Accent 4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9" w:customStyle="1">
    <w:name w:val="Lined - Accent 5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0" w:customStyle="1">
    <w:name w:val="Lined - Accent 6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1" w:customStyle="1">
    <w:name w:val="Bordered &amp; Lined - Accent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3" w:customStyle="1">
    <w:name w:val="Bordered &amp; Lined - Accent 2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4" w:customStyle="1">
    <w:name w:val="Bordered &amp; Lined - Accent 3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5" w:customStyle="1">
    <w:name w:val="Bordered &amp; Lined - Accent 4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6" w:customStyle="1">
    <w:name w:val="Bordered &amp; Lined - Accent 5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7" w:customStyle="1">
    <w:name w:val="Bordered &amp; Lined - Accent 6"/>
    <w:basedOn w:val="65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8" w:customStyle="1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0" w:customStyle="1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1" w:customStyle="1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2" w:customStyle="1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3" w:customStyle="1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4" w:customStyle="1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655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56"/>
    <w:uiPriority w:val="99"/>
    <w:unhideWhenUsed/>
    <w:rPr>
      <w:vertAlign w:val="superscript"/>
    </w:rPr>
  </w:style>
  <w:style w:type="paragraph" w:styleId="839">
    <w:name w:val="endnote text"/>
    <w:basedOn w:val="655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56"/>
    <w:uiPriority w:val="99"/>
    <w:semiHidden/>
    <w:unhideWhenUsed/>
    <w:rPr>
      <w:vertAlign w:val="superscript"/>
    </w:rPr>
  </w:style>
  <w:style w:type="paragraph" w:styleId="842">
    <w:name w:val="toc 1"/>
    <w:basedOn w:val="655"/>
    <w:next w:val="655"/>
    <w:uiPriority w:val="39"/>
    <w:unhideWhenUsed/>
    <w:pPr>
      <w:spacing w:after="57"/>
    </w:pPr>
  </w:style>
  <w:style w:type="paragraph" w:styleId="843">
    <w:name w:val="toc 2"/>
    <w:basedOn w:val="655"/>
    <w:next w:val="655"/>
    <w:uiPriority w:val="39"/>
    <w:unhideWhenUsed/>
    <w:pPr>
      <w:spacing w:after="57"/>
      <w:ind w:left="283"/>
    </w:pPr>
  </w:style>
  <w:style w:type="paragraph" w:styleId="844">
    <w:name w:val="toc 3"/>
    <w:basedOn w:val="655"/>
    <w:next w:val="655"/>
    <w:uiPriority w:val="39"/>
    <w:unhideWhenUsed/>
    <w:pPr>
      <w:spacing w:after="57"/>
      <w:ind w:left="567"/>
    </w:pPr>
  </w:style>
  <w:style w:type="paragraph" w:styleId="845">
    <w:name w:val="toc 4"/>
    <w:basedOn w:val="655"/>
    <w:next w:val="655"/>
    <w:uiPriority w:val="39"/>
    <w:unhideWhenUsed/>
    <w:pPr>
      <w:spacing w:after="57"/>
      <w:ind w:left="850"/>
    </w:pPr>
  </w:style>
  <w:style w:type="paragraph" w:styleId="846">
    <w:name w:val="toc 5"/>
    <w:basedOn w:val="655"/>
    <w:next w:val="655"/>
    <w:uiPriority w:val="39"/>
    <w:unhideWhenUsed/>
    <w:pPr>
      <w:spacing w:after="57"/>
      <w:ind w:left="1134"/>
    </w:pPr>
  </w:style>
  <w:style w:type="paragraph" w:styleId="847">
    <w:name w:val="toc 6"/>
    <w:basedOn w:val="655"/>
    <w:next w:val="655"/>
    <w:uiPriority w:val="39"/>
    <w:unhideWhenUsed/>
    <w:pPr>
      <w:spacing w:after="57"/>
      <w:ind w:left="1417"/>
    </w:pPr>
  </w:style>
  <w:style w:type="paragraph" w:styleId="848">
    <w:name w:val="toc 7"/>
    <w:basedOn w:val="655"/>
    <w:next w:val="655"/>
    <w:uiPriority w:val="39"/>
    <w:unhideWhenUsed/>
    <w:pPr>
      <w:spacing w:after="57"/>
      <w:ind w:left="1701"/>
    </w:pPr>
  </w:style>
  <w:style w:type="paragraph" w:styleId="849">
    <w:name w:val="toc 8"/>
    <w:basedOn w:val="655"/>
    <w:next w:val="655"/>
    <w:uiPriority w:val="39"/>
    <w:unhideWhenUsed/>
    <w:pPr>
      <w:spacing w:after="57"/>
      <w:ind w:left="1984"/>
    </w:pPr>
  </w:style>
  <w:style w:type="paragraph" w:styleId="850">
    <w:name w:val="toc 9"/>
    <w:basedOn w:val="655"/>
    <w:next w:val="655"/>
    <w:uiPriority w:val="39"/>
    <w:unhideWhenUsed/>
    <w:pPr>
      <w:spacing w:after="57"/>
      <w:ind w:left="2268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55"/>
    <w:next w:val="655"/>
    <w:uiPriority w:val="99"/>
    <w:unhideWhenUsed/>
    <w:pPr>
      <w:spacing w:after="0"/>
    </w:pPr>
  </w:style>
  <w:style w:type="table" w:styleId="853">
    <w:name w:val="Table Grid"/>
    <w:basedOn w:val="6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Grayscale">
      <a:dk1>
        <a:srgbClr val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>
    <a:extraClrScheme>
      <a:clrScheme name="Стандартная">
        <a:dk1>
          <a:sysClr val="windowText" lastClr="000000"/>
        </a:dk1>
        <a:lt1>
          <a:sysClr val="window" lastClr="FFFFFF"/>
        </a:lt1>
        <a:dk2>
          <a:srgbClr val="1F497D"/>
        </a:dk2>
        <a:lt2>
          <a:srgbClr val="EEECE1"/>
        </a:lt2>
        <a:accent1>
          <a:srgbClr val="4F81BD"/>
        </a:accent1>
        <a:accent2>
          <a:srgbClr val="C0504D"/>
        </a:accent2>
        <a:accent3>
          <a:srgbClr val="9BBB59"/>
        </a:accent3>
        <a:accent4>
          <a:srgbClr val="8064A2"/>
        </a:accent4>
        <a:accent5>
          <a:srgbClr val="4BACC6"/>
        </a:accent5>
        <a:accent6>
          <a:srgbClr val="F79646"/>
        </a:accent6>
        <a:hlink>
          <a:srgbClr val="0000FF"/>
        </a:hlink>
        <a:folHlink>
          <a:srgbClr val="800080"/>
        </a:folHlink>
      </a:clrScheme>
    </a:extraClrScheme>
  </a:extraClrScheme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4FD95-9C5C-412F-A4C6-1CC5521F2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Chipeeva</dc:creator>
  <cp:lastModifiedBy>permyakova_ma</cp:lastModifiedBy>
  <cp:revision>103</cp:revision>
  <dcterms:created xsi:type="dcterms:W3CDTF">2024-06-24T05:14:00Z</dcterms:created>
  <dcterms:modified xsi:type="dcterms:W3CDTF">2026-07-21T11:10:29Z</dcterms:modified>
</cp:coreProperties>
</file>