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9D10" w14:textId="77777777" w:rsidR="00317DFC" w:rsidRDefault="008C08AD">
      <w:pPr>
        <w:pStyle w:val="StGen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ПОЯСНИТЕЛЬНАЯ ЗАПИСКА</w:t>
      </w:r>
    </w:p>
    <w:p w14:paraId="762224FC" w14:textId="77777777" w:rsidR="00317DFC" w:rsidRDefault="008C08AD">
      <w:pPr>
        <w:pStyle w:val="StGen1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szCs w:val="28"/>
        </w:rPr>
        <w:t xml:space="preserve">к </w:t>
      </w:r>
      <w:sdt>
        <w:sdtPr>
          <w:rPr>
            <w:rFonts w:ascii="PT Astra Serif" w:hAnsi="PT Astra Serif"/>
            <w:szCs w:val="28"/>
          </w:rPr>
          <w:alias w:val="Вид проекта НПА"/>
          <w:tag w:val="Вид проекта НПА"/>
          <w:id w:val="-1594156616"/>
          <w:placeholder>
            <w:docPart w:val="DefaultPlaceholder_-1854013440"/>
          </w:placeholder>
        </w:sdtPr>
        <w:sdtEndPr/>
        <w:sdtContent>
          <w:r>
            <w:rPr>
              <w:rFonts w:ascii="PT Astra Serif" w:hAnsi="PT Astra Serif"/>
              <w:bCs/>
              <w:szCs w:val="28"/>
            </w:rPr>
            <w:t>Проекту распоряжения Правительства Удмуртской Республики</w:t>
          </w:r>
        </w:sdtContent>
      </w:sdt>
      <w:r>
        <w:rPr>
          <w:rFonts w:ascii="PT Astra Serif" w:hAnsi="PT Astra Serif"/>
          <w:bCs/>
          <w:szCs w:val="28"/>
        </w:rPr>
        <w:t xml:space="preserve"> «</w:t>
      </w:r>
      <w:sdt>
        <w:sdtPr>
          <w:rPr>
            <w:rFonts w:ascii="PT Astra Serif" w:hAnsi="PT Astra Serif"/>
            <w:szCs w:val="28"/>
          </w:rPr>
          <w:alias w:val="Заголовок"/>
          <w:tag w:val="Заголовок"/>
          <w:id w:val="42109846"/>
          <w:placeholder>
            <w:docPart w:val="7ac93092d845464581a5a2b0f7dc4f41"/>
          </w:placeholder>
        </w:sdtPr>
        <w:sdtEndPr/>
        <w:sdtContent>
          <w:r>
            <w:rPr>
              <w:rFonts w:ascii="PT Astra Serif" w:hAnsi="PT Astra Serif"/>
              <w:bCs/>
              <w:szCs w:val="28"/>
            </w:rPr>
            <w:t>О проекте закона Удмуртской Республики «О внесении изменений в Закон Удмуртской Республики «О бюджете Удмуртской Республики на 2025 год и на плановый период 2026 и 2027 годов»</w:t>
          </w:r>
          <w:r>
            <w:rPr>
              <w:rFonts w:ascii="PT Astra Serif" w:hAnsi="PT Astra Serif"/>
              <w:bCs/>
              <w:szCs w:val="28"/>
            </w:rPr>
            <w:br/>
          </w:r>
        </w:sdtContent>
      </w:sdt>
    </w:p>
    <w:p w14:paraId="16F1BDE7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2" w:lineRule="atLeast"/>
        <w:ind w:firstLine="709"/>
        <w:jc w:val="both"/>
      </w:pPr>
      <w:r>
        <w:rPr>
          <w:rFonts w:eastAsia="Times New Roman"/>
          <w:color w:val="000000"/>
        </w:rPr>
        <w:t>В соответствии со статьёй 83 Бюджетного Кодекса Российской Федерации и статьёй 24 Закона Удмуртской Республики «О бюджетном процессе в Удмуртской Республике» вносятся изменения в Закон Удмуртской Республики «О бюджете Удмуртской Республики на 2025 год и на плановый период 2026 и 2027 годов» (далее - Закон о бюджете).</w:t>
      </w:r>
    </w:p>
    <w:p w14:paraId="530F0A94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2" w:lineRule="atLeast"/>
        <w:ind w:firstLine="709"/>
        <w:jc w:val="both"/>
      </w:pPr>
      <w:r>
        <w:rPr>
          <w:rFonts w:eastAsia="Times New Roman"/>
          <w:color w:val="000000"/>
        </w:rPr>
        <w:t>Параметры 2025 года:</w:t>
      </w:r>
    </w:p>
    <w:p w14:paraId="0315AA6F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-284"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I. Предлагается внесение изменений в доходную часть бюджета Удмуртской Республики на 2025 год на сумму </w:t>
      </w:r>
      <w:r>
        <w:rPr>
          <w:rFonts w:eastAsia="Times New Roman"/>
          <w:b/>
          <w:color w:val="000000"/>
        </w:rPr>
        <w:t>1 583 120 000,00 рубля</w:t>
      </w:r>
      <w:r>
        <w:rPr>
          <w:rFonts w:eastAsia="Times New Roman"/>
          <w:color w:val="000000"/>
        </w:rPr>
        <w:t>:</w:t>
      </w:r>
    </w:p>
    <w:p w14:paraId="71380F8E" w14:textId="77777777" w:rsidR="00317DFC" w:rsidRDefault="00317D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-284" w:firstLine="709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aff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1843"/>
        <w:gridCol w:w="3544"/>
      </w:tblGrid>
      <w:tr w:rsidR="00317DFC" w14:paraId="1DBD77EE" w14:textId="77777777">
        <w:trPr>
          <w:trHeight w:val="333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B360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2CF1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BC78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2025 год</w:t>
            </w:r>
          </w:p>
          <w:p w14:paraId="0C6E13CD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(руб.)</w:t>
            </w:r>
          </w:p>
        </w:tc>
        <w:tc>
          <w:tcPr>
            <w:tcW w:w="35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4888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Пояснения</w:t>
            </w:r>
          </w:p>
        </w:tc>
      </w:tr>
      <w:tr w:rsidR="00317DFC" w14:paraId="034613E1" w14:textId="77777777">
        <w:trPr>
          <w:trHeight w:val="489"/>
        </w:trPr>
        <w:tc>
          <w:tcPr>
            <w:tcW w:w="212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95F1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1 00 00000 00 0000 000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B0609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345B0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+ 1 583 120 000,00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302E" w14:textId="77777777" w:rsidR="00317DFC" w:rsidRDefault="00317DFC">
            <w:pPr>
              <w:spacing w:line="57" w:lineRule="atLeast"/>
            </w:pPr>
          </w:p>
        </w:tc>
      </w:tr>
      <w:tr w:rsidR="00317DFC" w14:paraId="33A54FA1" w14:textId="77777777">
        <w:trPr>
          <w:trHeight w:val="1683"/>
        </w:trPr>
        <w:tc>
          <w:tcPr>
            <w:tcW w:w="212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556F0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1 08 00000 00 0000 000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F181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DB2D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- 210 000,00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03BF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Отменяется взимание государственной пошлины за повторную выдачу свидетельства о постановке на учет в налоговом органе. </w:t>
            </w:r>
          </w:p>
          <w:p w14:paraId="70968B47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Указанные изменения Налогового кодекса Российской Федерации вступили в силу со дня официального опубликования Федерального закона от 08.08.2024 № 259-ФЗ.</w:t>
            </w:r>
          </w:p>
          <w:p w14:paraId="5A6A1B47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Ранее за выдачу дубликата свидетельства взималась государственная пошлина в размере 300 рублей, теперь это делается бесплатно.</w:t>
            </w:r>
          </w:p>
        </w:tc>
      </w:tr>
      <w:tr w:rsidR="00317DFC" w14:paraId="19C1533E" w14:textId="77777777">
        <w:trPr>
          <w:trHeight w:val="1683"/>
        </w:trPr>
        <w:tc>
          <w:tcPr>
            <w:tcW w:w="212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CAF59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1 11 00000 00 0000 000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DDB1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D2E0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+ 1 583 330 000,00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EB3B7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</w:rPr>
              <w:t> </w:t>
            </w:r>
          </w:p>
        </w:tc>
      </w:tr>
      <w:tr w:rsidR="00317DFC" w14:paraId="3D8D4146" w14:textId="77777777">
        <w:trPr>
          <w:trHeight w:val="1683"/>
        </w:trPr>
        <w:tc>
          <w:tcPr>
            <w:tcW w:w="212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2A3F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1 11 02102 02 0000 120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799F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Доходы от операций по управлению остатками средств на едином казначейском счете, зачисляемые в бюджеты субъектов Российской Федерации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8E38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+ 1 583 330 000,00</w:t>
            </w:r>
          </w:p>
        </w:tc>
        <w:tc>
          <w:tcPr>
            <w:tcW w:w="35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E2CA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В связи с ожидаемым поступлением доходов от операций по управлению остатками средств на едином казначейском счете. </w:t>
            </w:r>
          </w:p>
          <w:p w14:paraId="616367AD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 2024 год доходы по данному коду поступили в размере 1 593 216 970 рублей</w:t>
            </w:r>
          </w:p>
        </w:tc>
      </w:tr>
    </w:tbl>
    <w:p w14:paraId="6F0DE3B5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84" w:firstLine="709"/>
        <w:jc w:val="right"/>
      </w:pPr>
      <w:r>
        <w:rPr>
          <w:rFonts w:eastAsia="Times New Roman"/>
          <w:color w:val="000000"/>
        </w:rPr>
        <w:t>».</w:t>
      </w:r>
    </w:p>
    <w:p w14:paraId="02E58953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709"/>
        <w:jc w:val="both"/>
      </w:pPr>
      <w:r>
        <w:rPr>
          <w:rFonts w:eastAsia="Times New Roman"/>
          <w:color w:val="000000"/>
        </w:rPr>
        <w:t>II. В расходную часть бюджета Удмуртской Республики на 2025 год предлагается внести изменения на общую сумму</w:t>
      </w:r>
      <w:r>
        <w:rPr>
          <w:rFonts w:ascii="Calibri" w:hAnsi="Calibri" w:cs="Calibri"/>
          <w:b/>
          <w:color w:val="000000"/>
          <w:sz w:val="22"/>
        </w:rPr>
        <w:t xml:space="preserve"> </w:t>
      </w:r>
      <w:r>
        <w:rPr>
          <w:rFonts w:eastAsia="Times New Roman"/>
          <w:b/>
          <w:color w:val="000000"/>
        </w:rPr>
        <w:t>2 151 942 937,21 рубля.</w:t>
      </w:r>
      <w:r>
        <w:rPr>
          <w:rFonts w:eastAsia="Times New Roman"/>
          <w:color w:val="000000"/>
        </w:rPr>
        <w:t xml:space="preserve"> Из них:</w:t>
      </w:r>
    </w:p>
    <w:p w14:paraId="3AD1DE4A" w14:textId="77777777" w:rsidR="00317DFC" w:rsidRDefault="008C08AD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2" w:lineRule="atLeast"/>
        <w:ind w:left="0" w:firstLine="703"/>
        <w:jc w:val="both"/>
      </w:pPr>
      <w:r>
        <w:rPr>
          <w:rFonts w:eastAsia="Times New Roman"/>
          <w:color w:val="000000"/>
        </w:rPr>
        <w:lastRenderedPageBreak/>
        <w:t xml:space="preserve"> За счет налоговых и неналоговых доходов на общую сумму </w:t>
      </w:r>
      <w:r>
        <w:rPr>
          <w:rFonts w:eastAsia="Times New Roman"/>
          <w:b/>
          <w:color w:val="000000"/>
        </w:rPr>
        <w:t>1 583 120 000,00 рубля. Из них:</w:t>
      </w:r>
      <w:r>
        <w:rPr>
          <w:rFonts w:eastAsia="Times New Roman"/>
          <w:color w:val="000000"/>
        </w:rPr>
        <w:t xml:space="preserve"> 1 221 244 123,08 рубля предлагается направить на финансовое обеспечение мероприятий по подключению планируемой к созданию особой экономической зоны промышленно-производственного типа «Ижевск» к обеспечивающей инфраструктуре; 315 089 493,92 рубля предлагается направить на резерв на инвестиции в объекты инфраструктуры в целях реализации инвестиционных проектов.</w:t>
      </w:r>
    </w:p>
    <w:p w14:paraId="20498C03" w14:textId="77777777" w:rsidR="00317DFC" w:rsidRDefault="008C08AD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left="0" w:firstLine="703"/>
        <w:jc w:val="both"/>
      </w:pPr>
      <w:r>
        <w:rPr>
          <w:rFonts w:eastAsia="Times New Roman"/>
          <w:color w:val="000000"/>
        </w:rPr>
        <w:t xml:space="preserve">За счет сложившихся по состоянию на 01.01.2025 г. нецелевых остатков средств на едином счете бюджета предлагается увеличить расходы дорожного фонда на сумму </w:t>
      </w:r>
      <w:r>
        <w:rPr>
          <w:rFonts w:eastAsia="Times New Roman"/>
          <w:b/>
          <w:color w:val="000000"/>
        </w:rPr>
        <w:t xml:space="preserve">568 822 937,21 рубля. </w:t>
      </w:r>
      <w:r>
        <w:rPr>
          <w:rFonts w:eastAsia="Times New Roman"/>
          <w:color w:val="000000"/>
        </w:rPr>
        <w:t>В целом, расходы дорожного фонда, в том числе за счет перераспределения средств внутри бюджета, увеличиваются на 895 922 937,21 рубля.</w:t>
      </w:r>
    </w:p>
    <w:p w14:paraId="408D1260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-4962"/>
        </w:tabs>
        <w:spacing w:line="62" w:lineRule="atLeast"/>
        <w:jc w:val="both"/>
      </w:pPr>
      <w:r>
        <w:rPr>
          <w:rFonts w:eastAsia="Times New Roman"/>
          <w:color w:val="000000"/>
          <w:highlight w:val="white"/>
        </w:rPr>
        <w:tab/>
      </w:r>
      <w:r>
        <w:rPr>
          <w:rFonts w:eastAsia="Times New Roman"/>
          <w:color w:val="000000"/>
        </w:rPr>
        <w:t xml:space="preserve">III. </w:t>
      </w:r>
      <w:r>
        <w:rPr>
          <w:rFonts w:eastAsia="Times New Roman"/>
          <w:color w:val="000000"/>
          <w:highlight w:val="white"/>
        </w:rPr>
        <w:t>Законопроектом учтены перераспределения бюджетных ассигнований между главными распорядителями бюджетных средств по решениям, принятым Правительством Удмуртской Республики в январе 2025 года, и в том числе, отраженные в сводной бюджетной росписи расходов бюджета Удмуртской Республики.  </w:t>
      </w:r>
    </w:p>
    <w:p w14:paraId="7F06CB0E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-4962"/>
        </w:tabs>
        <w:spacing w:line="62" w:lineRule="atLeast"/>
        <w:jc w:val="both"/>
      </w:pPr>
      <w:r>
        <w:rPr>
          <w:rFonts w:eastAsia="Times New Roman"/>
          <w:color w:val="000000"/>
        </w:rPr>
        <w:tab/>
        <w:t xml:space="preserve">IV. </w:t>
      </w:r>
      <w:r>
        <w:rPr>
          <w:rFonts w:eastAsia="Times New Roman"/>
          <w:color w:val="000000"/>
          <w:highlight w:val="white"/>
        </w:rPr>
        <w:t xml:space="preserve">За счет ранее зарезервированных средств в Законе о бюджете предлагается увеличить ассигнования на обеспечение наиболее значимых, </w:t>
      </w:r>
      <w:r>
        <w:rPr>
          <w:rFonts w:eastAsia="Times New Roman"/>
          <w:color w:val="000000"/>
        </w:rPr>
        <w:t>социально-ориентированных направлений расходов, из них:</w:t>
      </w:r>
    </w:p>
    <w:p w14:paraId="42A8E4A7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428 000 000,00 рубля – ремонт 5 км трамвайных путей, контактно-кабельной сети городского электрического транспорта в г. Ижевске;</w:t>
      </w:r>
    </w:p>
    <w:p w14:paraId="6458AB37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328 300 000,00 рубля – мероприятия в области поддержки и развития коммунального хозяйства (ремонт сетей водоснабжения в г. Ижевске);</w:t>
      </w:r>
    </w:p>
    <w:p w14:paraId="38AD40F0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317 100 000,00 рубля – ремонт ливневой канализации в г. Ижевске;</w:t>
      </w:r>
    </w:p>
    <w:p w14:paraId="69A0F680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460 000 000,00 рубля – субсидия юридическому лицу, осуществляющему регулярные коммерческие воздушные перевозки пассажиров и (или) аэропортовую деятельность;</w:t>
      </w:r>
    </w:p>
    <w:p w14:paraId="5F1D78FF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260 500 000,00 рубля – строительство фундамента средней образовательной школы в мкр.8 г. Ижевска;</w:t>
      </w:r>
    </w:p>
    <w:p w14:paraId="08DE20F6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 (+) 116 500 000,00 рубля – капитальный ремонт монумента «Навеки с Россией» и эспланады к нему в г. Ижевск;</w:t>
      </w:r>
    </w:p>
    <w:p w14:paraId="4CA335CA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80 000 000,00 рубля – капитальный ремонт молодежного патриотического центра «Граница» в г. Ижевск;</w:t>
      </w:r>
    </w:p>
    <w:p w14:paraId="2C53579B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59 195 007,15 рубля - на решение вопросов местного значения, осуществляемое с участием средств самообложения граждан (увеличение количества поданных заявок от граждан республики за 4 квартал 2024 года);</w:t>
      </w:r>
    </w:p>
    <w:p w14:paraId="1454AB41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45 000 000,00 рубля - техническое перевооружение очистных сооружений канализации в «Канифольный детский дом - интернат для умственно - отсталых детей»;</w:t>
      </w:r>
    </w:p>
    <w:p w14:paraId="0F3A9D34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41 000 000,00 рубля – капительный ремонт кровель образовательных учреждений;</w:t>
      </w:r>
    </w:p>
    <w:p w14:paraId="56AD9D65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35 000 000,00 рубля – капитальный ремонт приемного отделения БУЗ УР «Республиканский клинико-диагностический центр» в г. Ижевске;</w:t>
      </w:r>
    </w:p>
    <w:p w14:paraId="5D7C0CCC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 xml:space="preserve">(+) 30 800 000,00 рубля – благоустройство детского парка в г. Можге; </w:t>
      </w:r>
    </w:p>
    <w:p w14:paraId="7B03D788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lastRenderedPageBreak/>
        <w:t>(+) 30 000 000,00 рубля – капитальный ремонт школы №5 в г. Можге (сверх уровня софинансирования);</w:t>
      </w:r>
    </w:p>
    <w:p w14:paraId="3CEDFB13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27 000 000,00 рубля – благоустройство территорий городских округов;</w:t>
      </w:r>
    </w:p>
    <w:p w14:paraId="10C5E544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25 000 000,00 рубля – разработка проектно-сметной документации (под капитальный ремонт национального музея УР им. К. Герда);</w:t>
      </w:r>
    </w:p>
    <w:p w14:paraId="12F9219F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25 000 000,00 рубля – разработка проектно-сметной документации (строительство поликлиники);</w:t>
      </w:r>
    </w:p>
    <w:p w14:paraId="5503CDD7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20 000 000,00 рубля – благоустройство территории музея-заповедника «Иднакар» г. Глазов;</w:t>
      </w:r>
    </w:p>
    <w:p w14:paraId="0DFC973C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20 000 000,00 рубля – ремонт ГТС на р. Ягулка;</w:t>
      </w:r>
    </w:p>
    <w:p w14:paraId="2E42A261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(+)16 800 000,00 рубля – разработка проектно-сметной документации (техническое перевооружение системы теплоснабжения со строительством модульной котельной в г. Можге);</w:t>
      </w:r>
    </w:p>
    <w:p w14:paraId="4D5C24F3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15 000 000,00 рубля – разработка проектно-сметной документации (под капитальный ремонт легкоатлетического манежа г. Ижевск);</w:t>
      </w:r>
    </w:p>
    <w:p w14:paraId="63026394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15 000 000,00 рубля  - разработка проектно-сметной документации (под реконструкцию стадиона в г. Можге);</w:t>
      </w:r>
    </w:p>
    <w:p w14:paraId="6DB314C8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14 051 383,00 рубля – автоматизированный обзвон граждан для подтверждения явки на прием по записи в учреждения здравоохранения;</w:t>
      </w:r>
    </w:p>
    <w:p w14:paraId="1B66535D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(+) 10 000 000,00 рубля – ремонт подъездных путей к центру военно-патриотического воспитания в г. Воткинске.</w:t>
      </w:r>
    </w:p>
    <w:p w14:paraId="3F98C863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 xml:space="preserve">V. В текстовую часть Закона о бюджете предлагается внести следующие изменения: </w:t>
      </w:r>
    </w:p>
    <w:p w14:paraId="634C613E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- предусмотреть возможность предоставления субсидии Удмуртской республиканской организации общественно-государственного объединения «Всероссийское физкультурно-спортивное общество «Динамо»» в целях финансового обеспечения затрат при осуществлении ею уставной деятельности, субсидии Местной православной религиозной организации Прихода Благовещенского собора г. Воткинска Удмуртской Республики Ижевской и Удмуртской Епархии Русской Православной Церкви (Московский Патриархат);</w:t>
      </w:r>
    </w:p>
    <w:p w14:paraId="043B7B37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2" w:lineRule="atLeast"/>
        <w:ind w:firstLine="539"/>
        <w:jc w:val="both"/>
      </w:pPr>
      <w:r>
        <w:rPr>
          <w:rFonts w:eastAsia="Times New Roman"/>
          <w:color w:val="000000"/>
        </w:rPr>
        <w:t xml:space="preserve">- дополняется возможностью осуществления казначейского сопровождения средств бюджета Удмуртской Республики при направлении обращения юридического лица. То есть, помимо средств, по которым ранее осуществлялось казначейского сопровождение, в 2025 году иммунитет от взыскания средств службой судебных приставов может получить юридическое лицо на основании обращения. </w:t>
      </w:r>
    </w:p>
    <w:p w14:paraId="78F2B1D6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680"/>
        <w:jc w:val="both"/>
      </w:pPr>
      <w:r>
        <w:rPr>
          <w:rFonts w:eastAsia="Times New Roman"/>
          <w:color w:val="000000"/>
        </w:rPr>
        <w:t>VI. В Приложение 3 «Нормативы распределения доходов между бюджетом Удмуртской Республики, бюджетом Территориального фонда обязательного медицинского страхования Удмуртской Республики и бюджетами муниципальных образований (муниципальных округов, городских округов)  в Удмуртской Республике на 2025 год и на плановый период 2026 и 2027 годов» вносятся следующие изменения в части приведения кодов бюджетной классификации доходов в соответствие с Приказом Минфина России от 13.11.2024 № 165н «О внесении изменений в</w:t>
      </w:r>
      <w:r>
        <w:rPr>
          <w:rFonts w:eastAsia="Times New Roman"/>
          <w:color w:val="000000"/>
        </w:rPr>
        <w:t xml:space="preserve"> Приказ Министерства финансов Российской Федерации от 10 июня 2024 года № 85н «Об утверждении кодов </w:t>
      </w:r>
      <w:r>
        <w:rPr>
          <w:rFonts w:eastAsia="Times New Roman"/>
          <w:color w:val="000000"/>
        </w:rPr>
        <w:lastRenderedPageBreak/>
        <w:t xml:space="preserve">(перечней кодов) бюджетной классификации Российской Федерации на 2025 год и на плановый период 2026 и 2027 годов)» </w:t>
      </w:r>
    </w:p>
    <w:p w14:paraId="119D5C2D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-284" w:right="-426" w:firstLine="709"/>
        <w:jc w:val="both"/>
      </w:pPr>
      <w:r>
        <w:rPr>
          <w:rFonts w:eastAsia="Times New Roman"/>
          <w:color w:val="000000"/>
        </w:rPr>
        <w:t> </w:t>
      </w:r>
    </w:p>
    <w:p w14:paraId="5CE5E085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-284" w:right="-426" w:firstLine="709"/>
        <w:jc w:val="both"/>
      </w:pPr>
      <w:r>
        <w:rPr>
          <w:rFonts w:eastAsia="Times New Roman"/>
          <w:color w:val="000000"/>
        </w:rPr>
        <w:t>после строки:</w:t>
      </w:r>
    </w:p>
    <w:p w14:paraId="79E334AA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5" w:firstLine="709"/>
        <w:jc w:val="both"/>
      </w:pPr>
      <w:r>
        <w:rPr>
          <w:rFonts w:eastAsia="Times New Roman"/>
          <w:color w:val="000000"/>
        </w:rPr>
        <w:t>«</w:t>
      </w:r>
    </w:p>
    <w:tbl>
      <w:tblPr>
        <w:tblStyle w:val="aff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577"/>
        <w:gridCol w:w="1150"/>
        <w:gridCol w:w="1150"/>
        <w:gridCol w:w="1150"/>
        <w:gridCol w:w="1176"/>
        <w:gridCol w:w="1152"/>
      </w:tblGrid>
      <w:tr w:rsidR="00317DFC" w14:paraId="2E96E1C1" w14:textId="77777777"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C68629C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Задолженность (переплата) по налогам, сборам и иным обязательным платежам, образовавшаяся у плательщиков до 1 января 2023 года, зачисляемая в бюджеты муниципальных округов</w:t>
            </w:r>
          </w:p>
        </w:tc>
        <w:tc>
          <w:tcPr>
            <w:tcW w:w="11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B9BB018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EBF761D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22317DF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7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3757779D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15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194A551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</w:tbl>
    <w:p w14:paraId="6D5F6DF8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84" w:firstLine="426"/>
        <w:jc w:val="right"/>
      </w:pPr>
      <w:r>
        <w:rPr>
          <w:rFonts w:eastAsia="Times New Roman"/>
          <w:color w:val="000000"/>
        </w:rPr>
        <w:t> »</w:t>
      </w:r>
    </w:p>
    <w:p w14:paraId="010AC087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" w:firstLine="709"/>
      </w:pPr>
      <w:r>
        <w:rPr>
          <w:rFonts w:eastAsia="Times New Roman"/>
          <w:color w:val="000000"/>
        </w:rPr>
        <w:t>дополняется строками следующего содержания:</w:t>
      </w:r>
    </w:p>
    <w:p w14:paraId="1488B138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" w:firstLine="709"/>
      </w:pPr>
      <w:r>
        <w:rPr>
          <w:rFonts w:eastAsia="Times New Roman"/>
          <w:color w:val="000000"/>
        </w:rPr>
        <w:t>«</w:t>
      </w:r>
    </w:p>
    <w:p w14:paraId="5B037155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1" w:firstLine="709"/>
      </w:pPr>
      <w:r>
        <w:rPr>
          <w:rFonts w:eastAsia="Times New Roman"/>
          <w:color w:val="000000"/>
        </w:rPr>
        <w:t> </w:t>
      </w:r>
    </w:p>
    <w:tbl>
      <w:tblPr>
        <w:tblStyle w:val="aff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1142"/>
        <w:gridCol w:w="1143"/>
        <w:gridCol w:w="1169"/>
        <w:gridCol w:w="1170"/>
        <w:gridCol w:w="1144"/>
      </w:tblGrid>
      <w:tr w:rsidR="00317DFC" w14:paraId="2D3F3BE3" w14:textId="77777777"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E1FB3DE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1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1440FB0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7B1A83B6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33BE6D6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17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C13742F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4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15D241D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  <w:tr w:rsidR="00317DFC" w14:paraId="20E6D96B" w14:textId="77777777">
        <w:tc>
          <w:tcPr>
            <w:tcW w:w="358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DE934A6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округов</w:t>
            </w:r>
          </w:p>
        </w:tc>
        <w:tc>
          <w:tcPr>
            <w:tcW w:w="114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2695C58F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5AC8BF29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625A7B48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44386EDE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114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4022233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</w:tbl>
    <w:p w14:paraId="532F9E02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left="709"/>
        <w:jc w:val="both"/>
      </w:pPr>
      <w:r>
        <w:rPr>
          <w:rFonts w:eastAsia="Times New Roman"/>
          <w:color w:val="000000"/>
        </w:rPr>
        <w:t> </w:t>
      </w:r>
    </w:p>
    <w:p w14:paraId="64CD9F25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2" w:lineRule="atLeast"/>
        <w:ind w:firstLine="709"/>
        <w:jc w:val="both"/>
      </w:pPr>
      <w:r>
        <w:rPr>
          <w:rFonts w:eastAsia="Times New Roman"/>
          <w:color w:val="000000"/>
        </w:rPr>
        <w:t>VII. В источники финансирования дефицита бюджета на 2025 год предлагается внести изменения</w:t>
      </w:r>
      <w:r>
        <w:rPr>
          <w:rFonts w:eastAsia="Times New Roman"/>
          <w:b/>
          <w:color w:val="000000"/>
        </w:rPr>
        <w:t xml:space="preserve"> на 568 822 937,21 рубля:</w:t>
      </w:r>
      <w:r>
        <w:rPr>
          <w:rFonts w:eastAsia="Times New Roman"/>
          <w:color w:val="000000"/>
        </w:rPr>
        <w:t xml:space="preserve"> </w:t>
      </w:r>
    </w:p>
    <w:p w14:paraId="3F5F4846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2" w:lineRule="atLeast"/>
        <w:ind w:firstLine="709"/>
        <w:jc w:val="both"/>
      </w:pPr>
      <w:r>
        <w:rPr>
          <w:rFonts w:eastAsia="Times New Roman"/>
          <w:color w:val="000000"/>
        </w:rPr>
        <w:t> </w:t>
      </w:r>
    </w:p>
    <w:tbl>
      <w:tblPr>
        <w:tblStyle w:val="aff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1984"/>
        <w:gridCol w:w="3402"/>
      </w:tblGrid>
      <w:tr w:rsidR="00317DFC" w14:paraId="45E2B8F9" w14:textId="77777777">
        <w:trPr>
          <w:trHeight w:val="549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8C9B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Код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F4B8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0B96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2025 год</w:t>
            </w:r>
          </w:p>
          <w:p w14:paraId="2180640B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(руб.)</w:t>
            </w:r>
          </w:p>
        </w:tc>
        <w:tc>
          <w:tcPr>
            <w:tcW w:w="340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B8DC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Пояснение</w:t>
            </w:r>
          </w:p>
        </w:tc>
      </w:tr>
      <w:tr w:rsidR="00317DFC" w14:paraId="1B6C20E3" w14:textId="77777777">
        <w:trPr>
          <w:trHeight w:val="489"/>
        </w:trPr>
        <w:tc>
          <w:tcPr>
            <w:tcW w:w="212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EF543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</w:rPr>
              <w:t>000 01 05 00 00 00 0000 000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C5C8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7D91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</w:rPr>
              <w:t>+ 568 822 937,21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923E2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Остатки средств бюджета, сложившиеся на счете по состоянию на 01.01.2025г. составили 2 681 259,1 тыс. рублей. Из них целевые средства 112 436,2 тыс. рублей. Нецелевые остатки средств направлены в качестве источника покрытия дефицита бюджета в сумме </w:t>
            </w:r>
          </w:p>
          <w:p w14:paraId="5382407C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lastRenderedPageBreak/>
              <w:t>2 568 822,9 тыс. рублей. Из них 2 000 000,0 тыс. рублей</w:t>
            </w:r>
          </w:p>
          <w:p w14:paraId="46F0B568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учтены в первоначальном Законе о бюджете, а 568 822,9 тыс. рублей предлагается учесть в настоящем проекте закона.</w:t>
            </w:r>
          </w:p>
        </w:tc>
      </w:tr>
      <w:tr w:rsidR="00317DFC" w14:paraId="3B68D9DA" w14:textId="77777777">
        <w:trPr>
          <w:trHeight w:val="489"/>
        </w:trPr>
        <w:tc>
          <w:tcPr>
            <w:tcW w:w="212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7098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</w:rPr>
              <w:lastRenderedPageBreak/>
              <w:t>000 01 06 05 00 00 0000 000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3FAD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9C20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</w:rPr>
              <w:t>0,00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4E04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</w:rPr>
              <w:t> </w:t>
            </w:r>
          </w:p>
        </w:tc>
      </w:tr>
      <w:tr w:rsidR="00317DFC" w14:paraId="2D7325C3" w14:textId="77777777">
        <w:trPr>
          <w:trHeight w:val="489"/>
        </w:trPr>
        <w:tc>
          <w:tcPr>
            <w:tcW w:w="212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A5756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000 01 06 05 02 02 0000 640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56199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FEE1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+ 508 266 117,00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BE7A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 xml:space="preserve">Возврат бюджетных кредитов, предоставленных муниципальным образованиям в конце 2024 года, в соответствии с графиками </w:t>
            </w:r>
          </w:p>
        </w:tc>
      </w:tr>
      <w:tr w:rsidR="00317DFC" w14:paraId="2A8BE1F5" w14:textId="77777777">
        <w:trPr>
          <w:trHeight w:val="274"/>
        </w:trPr>
        <w:tc>
          <w:tcPr>
            <w:tcW w:w="212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C82B5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000 01 06 05 02 02 0000 540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1D91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05E9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- 508 266 117,00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5AB5D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Предусматривается возможность предоставления в течение финансового года бюджетных кредитов на покрытие временных кассовых разрывов, возникающих при исполнении бюджетов муниципальных образований</w:t>
            </w:r>
          </w:p>
        </w:tc>
      </w:tr>
      <w:tr w:rsidR="00317DFC" w14:paraId="10EA8E76" w14:textId="77777777">
        <w:trPr>
          <w:trHeight w:val="489"/>
        </w:trPr>
        <w:tc>
          <w:tcPr>
            <w:tcW w:w="212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3F4E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823A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</w:rPr>
              <w:t xml:space="preserve">ИТОГО ПОПРАВОК 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DE4AF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</w:rPr>
              <w:t>+ 568 822 937,21</w:t>
            </w:r>
          </w:p>
        </w:tc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AB97C" w14:textId="77777777" w:rsidR="00317DFC" w:rsidRDefault="008C08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 </w:t>
            </w:r>
          </w:p>
        </w:tc>
      </w:tr>
    </w:tbl>
    <w:p w14:paraId="1167F221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line="62" w:lineRule="atLeast"/>
        <w:ind w:firstLine="709"/>
        <w:jc w:val="both"/>
      </w:pPr>
      <w:r>
        <w:rPr>
          <w:rFonts w:eastAsia="Times New Roman"/>
          <w:color w:val="000000"/>
        </w:rPr>
        <w:t> </w:t>
      </w:r>
    </w:p>
    <w:p w14:paraId="5BC08460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2" w:lineRule="atLeast"/>
        <w:ind w:firstLine="709"/>
        <w:jc w:val="both"/>
      </w:pPr>
      <w:r>
        <w:rPr>
          <w:rFonts w:eastAsia="Times New Roman"/>
          <w:color w:val="000000"/>
        </w:rPr>
        <w:t>С учётом вносимых изменений основные параметры бюджета Удмуртской Республики на 2025 год и на плановый период 2026 и 2027 годов прогнозируются на 2025 год в следующих размерах:</w:t>
      </w:r>
    </w:p>
    <w:p w14:paraId="03A32D0C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2" w:lineRule="atLeast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общий объём доходов бюджета Удмуртской Республики 147 119 507 743,35 рубля, общий объём расходов 149 963 920 680,56 рубля, размер дефицита составит (-) 2 844 412 937,21 рубля.</w:t>
      </w:r>
    </w:p>
    <w:p w14:paraId="2603D47E" w14:textId="77777777" w:rsidR="00317DFC" w:rsidRDefault="00317D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2" w:lineRule="atLeast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7BFBA2E9" w14:textId="77777777" w:rsidR="00317DFC" w:rsidRDefault="008C08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2" w:lineRule="atLeast"/>
        <w:ind w:firstLine="709"/>
        <w:jc w:val="both"/>
      </w:pPr>
      <w:r>
        <w:rPr>
          <w:rFonts w:eastAsia="Times New Roman"/>
          <w:color w:val="000000"/>
        </w:rPr>
        <w:t>Параметры на 2026 год и на 2027 год не меняются.</w:t>
      </w:r>
    </w:p>
    <w:p w14:paraId="7FA5CD3C" w14:textId="77777777" w:rsidR="00317DFC" w:rsidRDefault="00317DFC">
      <w:pPr>
        <w:tabs>
          <w:tab w:val="left" w:pos="1800"/>
        </w:tabs>
        <w:ind w:right="-143" w:firstLine="851"/>
        <w:jc w:val="both"/>
        <w:rPr>
          <w:rFonts w:ascii="PT Astra Serif" w:hAnsi="PT Astra Serif"/>
        </w:rPr>
      </w:pPr>
    </w:p>
    <w:p w14:paraId="16BF7C19" w14:textId="77777777" w:rsidR="00317DFC" w:rsidRDefault="00317DFC">
      <w:pPr>
        <w:tabs>
          <w:tab w:val="left" w:pos="1800"/>
        </w:tabs>
        <w:ind w:right="-1"/>
        <w:jc w:val="both"/>
        <w:rPr>
          <w:rFonts w:ascii="PT Astra Serif" w:hAnsi="PT Astra Serif"/>
        </w:rPr>
      </w:pPr>
    </w:p>
    <w:p w14:paraId="4B0883F4" w14:textId="77777777" w:rsidR="00317DFC" w:rsidRDefault="00317DFC">
      <w:pPr>
        <w:tabs>
          <w:tab w:val="left" w:pos="1800"/>
        </w:tabs>
        <w:ind w:right="-1"/>
        <w:jc w:val="both"/>
        <w:rPr>
          <w:rFonts w:ascii="PT Astra Serif" w:hAnsi="PT Astra Serif"/>
        </w:rPr>
      </w:pPr>
    </w:p>
    <w:p w14:paraId="20BAFC50" w14:textId="77777777" w:rsidR="00317DFC" w:rsidRDefault="00317DFC">
      <w:pPr>
        <w:tabs>
          <w:tab w:val="left" w:pos="1800"/>
        </w:tabs>
        <w:ind w:right="-1"/>
        <w:jc w:val="both"/>
        <w:rPr>
          <w:rFonts w:ascii="PT Astra Serif" w:hAnsi="PT Astra Serif"/>
        </w:rPr>
      </w:pPr>
    </w:p>
    <w:tbl>
      <w:tblPr>
        <w:tblStyle w:val="affb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3125"/>
        <w:gridCol w:w="2405"/>
      </w:tblGrid>
      <w:tr w:rsidR="00317DFC" w14:paraId="389C9F55" w14:textId="77777777">
        <w:tc>
          <w:tcPr>
            <w:tcW w:w="3968" w:type="dxa"/>
          </w:tcPr>
          <w:p w14:paraId="406E4647" w14:textId="77777777" w:rsidR="00317DFC" w:rsidRDefault="008C08A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 вносит:</w:t>
            </w:r>
          </w:p>
          <w:p w14:paraId="618AFAFE" w14:textId="77777777" w:rsidR="00317DFC" w:rsidRDefault="008C08AD">
            <w:pPr>
              <w:jc w:val="left"/>
              <w:outlineLvl w:val="0"/>
              <w:rPr>
                <w:rFonts w:ascii="PT Astra Serif" w:hAnsi="PT Astra Serif"/>
              </w:rPr>
            </w:pPr>
            <w:sdt>
              <w:sdtPr>
                <w:rPr>
                  <w:rFonts w:ascii="PT Astra Serif" w:hAnsi="PT Astra Serif"/>
                </w:rPr>
                <w:alias w:val="Должность подписавшего"/>
                <w:id w:val="1451591209"/>
                <w:placeholder>
                  <w:docPart w:val="4013558CEA8243EC9528EE570B66BB52"/>
                </w:placeholder>
              </w:sdtPr>
              <w:sdtEndPr/>
              <w:sdtContent>
                <w:r>
                  <w:rPr>
                    <w:rFonts w:ascii="PT Astra Serif" w:hAnsi="PT Astra Serif"/>
                  </w:rPr>
                  <w:t>Министр финансов Удмуртской Республики</w:t>
                </w:r>
              </w:sdtContent>
            </w:sdt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25" w:type="dxa"/>
          </w:tcPr>
          <w:p w14:paraId="2BCBBD03" w14:textId="77777777" w:rsidR="00317DFC" w:rsidRDefault="008C08AD"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SS</w:t>
            </w:r>
            <w:r>
              <w:rPr>
                <w:rFonts w:ascii="PT Astra Serif" w:hAnsi="PT Astra Serif"/>
              </w:rPr>
              <w:t>^</w:t>
            </w:r>
          </w:p>
        </w:tc>
        <w:tc>
          <w:tcPr>
            <w:tcW w:w="2405" w:type="dxa"/>
            <w:vAlign w:val="bottom"/>
          </w:tcPr>
          <w:sdt>
            <w:sdtPr>
              <w:rPr>
                <w:rFonts w:ascii="PT Astra Serif" w:hAnsi="PT Astra Serif"/>
              </w:rPr>
              <w:alias w:val="Подписал"/>
              <w:id w:val="-1841768659"/>
              <w:placeholder>
                <w:docPart w:val="DefaultPlaceholder_-1854013440"/>
              </w:placeholder>
            </w:sdtPr>
            <w:sdtEndPr/>
            <w:sdtContent>
              <w:p w14:paraId="421EF4A8" w14:textId="77777777" w:rsidR="00317DFC" w:rsidRDefault="008C08AD">
                <w:pPr>
                  <w:jc w:val="right"/>
                  <w:rPr>
                    <w:rFonts w:ascii="PT Astra Serif" w:hAnsi="PT Astra Serif"/>
                  </w:rPr>
                </w:pPr>
                <w:r>
                  <w:rPr>
                    <w:rFonts w:ascii="PT Astra Serif" w:hAnsi="PT Astra Serif"/>
                  </w:rPr>
                  <w:t>В.Н. Сухих</w:t>
                </w:r>
              </w:p>
            </w:sdtContent>
          </w:sdt>
        </w:tc>
      </w:tr>
    </w:tbl>
    <w:p w14:paraId="6B995299" w14:textId="77777777" w:rsidR="00317DFC" w:rsidRDefault="00317DFC">
      <w:pPr>
        <w:tabs>
          <w:tab w:val="left" w:pos="1800"/>
        </w:tabs>
        <w:ind w:right="-1"/>
        <w:jc w:val="both"/>
        <w:rPr>
          <w:rFonts w:ascii="PT Astra Serif" w:hAnsi="PT Astra Serif"/>
        </w:rPr>
      </w:pPr>
    </w:p>
    <w:p w14:paraId="7402A5CC" w14:textId="77777777" w:rsidR="00317DFC" w:rsidRDefault="00317DFC">
      <w:pPr>
        <w:tabs>
          <w:tab w:val="left" w:pos="1800"/>
        </w:tabs>
        <w:ind w:right="-1"/>
        <w:jc w:val="both"/>
        <w:rPr>
          <w:rFonts w:ascii="PT Astra Serif" w:hAnsi="PT Astra Serif"/>
        </w:rPr>
      </w:pPr>
    </w:p>
    <w:p w14:paraId="249F8ACE" w14:textId="77777777" w:rsidR="00317DFC" w:rsidRDefault="00317DFC">
      <w:pPr>
        <w:tabs>
          <w:tab w:val="left" w:pos="1800"/>
        </w:tabs>
        <w:ind w:right="-1"/>
        <w:jc w:val="both"/>
        <w:rPr>
          <w:rFonts w:ascii="PT Astra Serif" w:hAnsi="PT Astra Serif"/>
        </w:rPr>
      </w:pPr>
    </w:p>
    <w:p w14:paraId="179CD8E1" w14:textId="77777777" w:rsidR="00317DFC" w:rsidRDefault="00317DFC">
      <w:pPr>
        <w:tabs>
          <w:tab w:val="left" w:pos="1800"/>
        </w:tabs>
        <w:ind w:right="-1"/>
        <w:jc w:val="both"/>
        <w:rPr>
          <w:rFonts w:ascii="PT Astra Serif" w:hAnsi="PT Astra Serif"/>
        </w:rPr>
      </w:pPr>
    </w:p>
    <w:sectPr w:rsidR="00317DFC">
      <w:pgSz w:w="11906" w:h="16838"/>
      <w:pgMar w:top="1134" w:right="567" w:bottom="1134" w:left="1701" w:header="284" w:footer="1042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C3FA2" w14:textId="77777777" w:rsidR="00317DFC" w:rsidRDefault="008C08AD">
      <w:r>
        <w:separator/>
      </w:r>
    </w:p>
  </w:endnote>
  <w:endnote w:type="continuationSeparator" w:id="0">
    <w:p w14:paraId="1907FAFC" w14:textId="77777777" w:rsidR="00317DFC" w:rsidRDefault="008C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70A54" w14:textId="77777777" w:rsidR="00317DFC" w:rsidRDefault="008C08AD">
      <w:r>
        <w:separator/>
      </w:r>
    </w:p>
  </w:footnote>
  <w:footnote w:type="continuationSeparator" w:id="0">
    <w:p w14:paraId="486D1FF3" w14:textId="77777777" w:rsidR="00317DFC" w:rsidRDefault="008C0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378A"/>
    <w:multiLevelType w:val="multilevel"/>
    <w:tmpl w:val="D7C41CD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701"/>
        </w:tabs>
        <w:ind w:left="1701" w:hanging="567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1" w15:restartNumberingAfterBreak="0">
    <w:nsid w:val="58B573A4"/>
    <w:multiLevelType w:val="hybridMultilevel"/>
    <w:tmpl w:val="6AE099C6"/>
    <w:lvl w:ilvl="0" w:tplc="D108E0BA">
      <w:start w:val="1"/>
      <w:numFmt w:val="bullet"/>
      <w:pStyle w:val="a0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 w:tplc="F45642E0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 w:tplc="E1D68534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 w:tplc="8410DD50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 w:tplc="ECC03F9A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 w:tplc="52B4292A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 w:tplc="8C2E25E2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 w:tplc="D2BAC8EE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 w:tplc="D0F00BE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2" w15:restartNumberingAfterBreak="0">
    <w:nsid w:val="672C4E4E"/>
    <w:multiLevelType w:val="multilevel"/>
    <w:tmpl w:val="7C26330C"/>
    <w:styleLink w:val="a1"/>
    <w:lvl w:ilvl="0">
      <w:start w:val="1"/>
      <w:numFmt w:val="decimal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" w15:restartNumberingAfterBreak="0">
    <w:nsid w:val="6E672B71"/>
    <w:multiLevelType w:val="multilevel"/>
    <w:tmpl w:val="96C817D8"/>
    <w:styleLink w:val="11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45"/>
        </w:tabs>
        <w:ind w:left="3829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" w15:restartNumberingAfterBreak="0">
    <w:nsid w:val="78AF352D"/>
    <w:multiLevelType w:val="hybridMultilevel"/>
    <w:tmpl w:val="92BCC98A"/>
    <w:lvl w:ilvl="0" w:tplc="67CEAC00">
      <w:start w:val="1"/>
      <w:numFmt w:val="decimal"/>
      <w:lvlText w:val="%1."/>
      <w:lvlJc w:val="right"/>
      <w:pPr>
        <w:ind w:left="785" w:hanging="360"/>
      </w:pPr>
      <w:rPr>
        <w:sz w:val="28"/>
      </w:rPr>
    </w:lvl>
    <w:lvl w:ilvl="1" w:tplc="00783A3C">
      <w:start w:val="1"/>
      <w:numFmt w:val="lowerLetter"/>
      <w:lvlText w:val="%2."/>
      <w:lvlJc w:val="left"/>
      <w:pPr>
        <w:ind w:left="1505" w:hanging="360"/>
      </w:pPr>
    </w:lvl>
    <w:lvl w:ilvl="2" w:tplc="8FAC4150">
      <w:start w:val="1"/>
      <w:numFmt w:val="lowerRoman"/>
      <w:lvlText w:val="%3."/>
      <w:lvlJc w:val="right"/>
      <w:pPr>
        <w:ind w:left="2225" w:hanging="180"/>
      </w:pPr>
    </w:lvl>
    <w:lvl w:ilvl="3" w:tplc="1D663736">
      <w:start w:val="1"/>
      <w:numFmt w:val="decimal"/>
      <w:lvlText w:val="%4."/>
      <w:lvlJc w:val="left"/>
      <w:pPr>
        <w:ind w:left="2945" w:hanging="360"/>
      </w:pPr>
    </w:lvl>
    <w:lvl w:ilvl="4" w:tplc="8B0CADA4">
      <w:start w:val="1"/>
      <w:numFmt w:val="lowerLetter"/>
      <w:lvlText w:val="%5."/>
      <w:lvlJc w:val="left"/>
      <w:pPr>
        <w:ind w:left="3665" w:hanging="360"/>
      </w:pPr>
    </w:lvl>
    <w:lvl w:ilvl="5" w:tplc="FC54EF8E">
      <w:start w:val="1"/>
      <w:numFmt w:val="lowerRoman"/>
      <w:lvlText w:val="%6."/>
      <w:lvlJc w:val="right"/>
      <w:pPr>
        <w:ind w:left="4385" w:hanging="180"/>
      </w:pPr>
    </w:lvl>
    <w:lvl w:ilvl="6" w:tplc="BDB44FE6">
      <w:start w:val="1"/>
      <w:numFmt w:val="decimal"/>
      <w:lvlText w:val="%7."/>
      <w:lvlJc w:val="left"/>
      <w:pPr>
        <w:ind w:left="5105" w:hanging="360"/>
      </w:pPr>
    </w:lvl>
    <w:lvl w:ilvl="7" w:tplc="A4CEF324">
      <w:start w:val="1"/>
      <w:numFmt w:val="lowerLetter"/>
      <w:lvlText w:val="%8."/>
      <w:lvlJc w:val="left"/>
      <w:pPr>
        <w:ind w:left="5825" w:hanging="360"/>
      </w:pPr>
    </w:lvl>
    <w:lvl w:ilvl="8" w:tplc="65782830">
      <w:start w:val="1"/>
      <w:numFmt w:val="lowerRoman"/>
      <w:lvlText w:val="%9."/>
      <w:lvlJc w:val="right"/>
      <w:pPr>
        <w:ind w:left="6545" w:hanging="180"/>
      </w:pPr>
    </w:lvl>
  </w:abstractNum>
  <w:num w:numId="1" w16cid:durableId="1264189959">
    <w:abstractNumId w:val="1"/>
  </w:num>
  <w:num w:numId="2" w16cid:durableId="588853418">
    <w:abstractNumId w:val="0"/>
  </w:num>
  <w:num w:numId="3" w16cid:durableId="817527302">
    <w:abstractNumId w:val="3"/>
  </w:num>
  <w:num w:numId="4" w16cid:durableId="371198939">
    <w:abstractNumId w:val="2"/>
  </w:num>
  <w:num w:numId="5" w16cid:durableId="540092215">
    <w:abstractNumId w:val="1"/>
  </w:num>
  <w:num w:numId="6" w16cid:durableId="2089032159">
    <w:abstractNumId w:val="0"/>
  </w:num>
  <w:num w:numId="7" w16cid:durableId="918945901">
    <w:abstractNumId w:val="3"/>
  </w:num>
  <w:num w:numId="8" w16cid:durableId="1364402497">
    <w:abstractNumId w:val="2"/>
  </w:num>
  <w:num w:numId="9" w16cid:durableId="1926645332">
    <w:abstractNumId w:val="1"/>
  </w:num>
  <w:num w:numId="10" w16cid:durableId="1980068276">
    <w:abstractNumId w:val="0"/>
  </w:num>
  <w:num w:numId="11" w16cid:durableId="1784419473">
    <w:abstractNumId w:val="3"/>
  </w:num>
  <w:num w:numId="12" w16cid:durableId="1040085828">
    <w:abstractNumId w:val="2"/>
  </w:num>
  <w:num w:numId="13" w16cid:durableId="1448812596">
    <w:abstractNumId w:val="1"/>
  </w:num>
  <w:num w:numId="14" w16cid:durableId="1678460607">
    <w:abstractNumId w:val="0"/>
  </w:num>
  <w:num w:numId="15" w16cid:durableId="595596858">
    <w:abstractNumId w:val="3"/>
  </w:num>
  <w:num w:numId="16" w16cid:durableId="1004747790">
    <w:abstractNumId w:val="2"/>
  </w:num>
  <w:num w:numId="17" w16cid:durableId="1560551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FC"/>
    <w:rsid w:val="0015519D"/>
    <w:rsid w:val="00317DFC"/>
    <w:rsid w:val="008C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6C41"/>
  <w15:docId w15:val="{C7BE1F52-2F26-4F65-B254-35F609DE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eastAsia="Calibri"/>
      <w:sz w:val="28"/>
      <w:szCs w:val="28"/>
    </w:rPr>
  </w:style>
  <w:style w:type="paragraph" w:styleId="1">
    <w:name w:val="heading 1"/>
    <w:basedOn w:val="a3"/>
    <w:next w:val="a3"/>
    <w:link w:val="10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basedOn w:val="a3"/>
    <w:next w:val="a3"/>
    <w:link w:val="20"/>
    <w:qFormat/>
    <w:pPr>
      <w:keepNext/>
      <w:spacing w:before="400" w:after="120"/>
      <w:outlineLvl w:val="1"/>
    </w:pPr>
    <w:rPr>
      <w:color w:val="1F497D"/>
    </w:rPr>
  </w:style>
  <w:style w:type="paragraph" w:styleId="3">
    <w:name w:val="heading 3"/>
    <w:basedOn w:val="a3"/>
    <w:next w:val="a3"/>
    <w:link w:val="30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4">
    <w:name w:val="heading 4"/>
    <w:basedOn w:val="a2"/>
    <w:next w:val="a2"/>
    <w:link w:val="40"/>
    <w:qFormat/>
    <w:pPr>
      <w:keepNext/>
      <w:keepLines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5">
    <w:name w:val="heading 5"/>
    <w:basedOn w:val="a2"/>
    <w:next w:val="a2"/>
    <w:link w:val="50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6">
    <w:name w:val="heading 6"/>
    <w:basedOn w:val="a2"/>
    <w:next w:val="a2"/>
    <w:link w:val="60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7">
    <w:name w:val="heading 7"/>
    <w:basedOn w:val="a2"/>
    <w:next w:val="a2"/>
    <w:link w:val="70"/>
    <w:uiPriority w:val="9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9"/>
    <w:semiHidden/>
    <w:qFormat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9">
    <w:name w:val="heading 9"/>
    <w:basedOn w:val="a2"/>
    <w:next w:val="a2"/>
    <w:link w:val="90"/>
    <w:uiPriority w:val="99"/>
    <w:semiHidden/>
    <w:qFormat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basedOn w:val="a4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4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4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4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4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4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4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4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TitleChar">
    <w:name w:val="Title Char"/>
    <w:basedOn w:val="a4"/>
    <w:uiPriority w:val="10"/>
    <w:rPr>
      <w:sz w:val="48"/>
      <w:szCs w:val="48"/>
    </w:rPr>
  </w:style>
  <w:style w:type="paragraph" w:styleId="a8">
    <w:name w:val="Subtitle"/>
    <w:basedOn w:val="a2"/>
    <w:next w:val="a2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4"/>
    <w:link w:val="a8"/>
    <w:uiPriority w:val="11"/>
    <w:rPr>
      <w:sz w:val="24"/>
      <w:szCs w:val="24"/>
    </w:rPr>
  </w:style>
  <w:style w:type="paragraph" w:styleId="21">
    <w:name w:val="Quote"/>
    <w:basedOn w:val="a2"/>
    <w:next w:val="a2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2"/>
    <w:next w:val="a2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5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5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5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5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5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5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5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5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5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5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5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5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5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5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5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2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4"/>
    <w:uiPriority w:val="99"/>
    <w:unhideWhenUsed/>
    <w:rPr>
      <w:vertAlign w:val="superscript"/>
    </w:rPr>
  </w:style>
  <w:style w:type="paragraph" w:styleId="af">
    <w:name w:val="endnote text"/>
    <w:basedOn w:val="a2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4"/>
    <w:uiPriority w:val="99"/>
    <w:semiHidden/>
    <w:unhideWhenUsed/>
    <w:rPr>
      <w:vertAlign w:val="superscript"/>
    </w:r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2"/>
    <w:next w:val="a2"/>
    <w:uiPriority w:val="99"/>
    <w:unhideWhenUsed/>
  </w:style>
  <w:style w:type="paragraph" w:styleId="af4">
    <w:name w:val="List Paragraph"/>
    <w:basedOn w:val="a2"/>
    <w:uiPriority w:val="99"/>
    <w:semiHidden/>
    <w:qFormat/>
    <w:pPr>
      <w:spacing w:before="60"/>
      <w:ind w:left="709" w:hanging="284"/>
    </w:pPr>
  </w:style>
  <w:style w:type="character" w:customStyle="1" w:styleId="10">
    <w:name w:val="Заголовок 1 Знак"/>
    <w:basedOn w:val="a4"/>
    <w:link w:val="1"/>
    <w:rPr>
      <w:rFonts w:ascii="Arial" w:eastAsia="Times New Roman" w:hAnsi="Arial" w:cs="Arial"/>
      <w:color w:val="1F497D"/>
      <w:sz w:val="36"/>
      <w:szCs w:val="32"/>
      <w:lang w:eastAsia="ru-RU"/>
    </w:rPr>
  </w:style>
  <w:style w:type="paragraph" w:styleId="af5">
    <w:name w:val="header"/>
    <w:basedOn w:val="a2"/>
    <w:link w:val="af6"/>
    <w:pPr>
      <w:tabs>
        <w:tab w:val="center" w:pos="4677"/>
        <w:tab w:val="right" w:pos="9355"/>
      </w:tabs>
    </w:pPr>
    <w:rPr>
      <w:color w:val="404040"/>
      <w:sz w:val="18"/>
    </w:rPr>
  </w:style>
  <w:style w:type="character" w:customStyle="1" w:styleId="af6">
    <w:name w:val="Верхний колонтитул Знак"/>
    <w:link w:val="af5"/>
    <w:rPr>
      <w:rFonts w:ascii="Arial" w:eastAsia="Calibri" w:hAnsi="Arial"/>
      <w:color w:val="404040"/>
      <w:sz w:val="18"/>
    </w:rPr>
  </w:style>
  <w:style w:type="character" w:customStyle="1" w:styleId="20">
    <w:name w:val="Заголовок 2 Знак"/>
    <w:basedOn w:val="a4"/>
    <w:link w:val="2"/>
    <w:rPr>
      <w:rFonts w:ascii="Arial" w:eastAsia="Times New Roman" w:hAnsi="Arial"/>
      <w:color w:val="1F497D"/>
      <w:sz w:val="28"/>
      <w:lang w:eastAsia="ru-RU"/>
    </w:rPr>
  </w:style>
  <w:style w:type="character" w:styleId="af7">
    <w:name w:val="Hyperlink"/>
    <w:basedOn w:val="a4"/>
    <w:qFormat/>
    <w:rPr>
      <w:rFonts w:eastAsia="Times New Roman"/>
      <w:color w:val="4F81BD"/>
      <w:u w:val="single"/>
      <w:lang w:val="ru-RU" w:eastAsia="ru-RU"/>
    </w:rPr>
  </w:style>
  <w:style w:type="character" w:customStyle="1" w:styleId="30">
    <w:name w:val="Заголовок 3 Знак"/>
    <w:basedOn w:val="a4"/>
    <w:link w:val="3"/>
    <w:rPr>
      <w:rFonts w:ascii="Arial" w:eastAsia="Times New Roman" w:hAnsi="Arial"/>
      <w:color w:val="1F497D"/>
      <w:sz w:val="24"/>
      <w:lang w:eastAsia="ru-RU"/>
    </w:rPr>
  </w:style>
  <w:style w:type="character" w:customStyle="1" w:styleId="40">
    <w:name w:val="Заголовок 4 Знак"/>
    <w:basedOn w:val="a4"/>
    <w:link w:val="4"/>
    <w:rPr>
      <w:rFonts w:ascii="Arial" w:eastAsia="Times New Roman" w:hAnsi="Arial"/>
      <w:i/>
      <w:color w:val="1F497D"/>
      <w:sz w:val="22"/>
      <w:lang w:eastAsia="ru-RU"/>
    </w:rPr>
  </w:style>
  <w:style w:type="character" w:customStyle="1" w:styleId="50">
    <w:name w:val="Заголовок 5 Знак"/>
    <w:basedOn w:val="a4"/>
    <w:link w:val="5"/>
    <w:rPr>
      <w:rFonts w:ascii="Arial" w:eastAsia="Times New Roman" w:hAnsi="Arial"/>
      <w:b/>
      <w:color w:val="1F497D"/>
      <w:lang w:eastAsia="ru-RU"/>
    </w:rPr>
  </w:style>
  <w:style w:type="paragraph" w:styleId="a3">
    <w:name w:val="Body Text"/>
    <w:basedOn w:val="a2"/>
    <w:link w:val="af8"/>
    <w:qFormat/>
    <w:rPr>
      <w:rFonts w:eastAsia="Times New Roman"/>
      <w:lang w:eastAsia="ru-RU"/>
    </w:rPr>
  </w:style>
  <w:style w:type="character" w:customStyle="1" w:styleId="af8">
    <w:name w:val="Основной текст Знак"/>
    <w:basedOn w:val="a4"/>
    <w:link w:val="a3"/>
    <w:rPr>
      <w:rFonts w:ascii="Arial" w:eastAsia="Times New Roman" w:hAnsi="Arial"/>
      <w:lang w:eastAsia="ru-RU"/>
    </w:rPr>
  </w:style>
  <w:style w:type="paragraph" w:customStyle="1" w:styleId="af9">
    <w:name w:val="Заголовок этапа ТМ"/>
    <w:next w:val="a2"/>
    <w:pPr>
      <w:spacing w:before="160"/>
      <w:jc w:val="center"/>
      <w:outlineLvl w:val="4"/>
    </w:pPr>
    <w:rPr>
      <w:rFonts w:ascii="Arial" w:eastAsia="Times New Roman" w:hAnsi="Arial"/>
      <w:b/>
    </w:rPr>
  </w:style>
  <w:style w:type="character" w:styleId="afa">
    <w:name w:val="annotation reference"/>
    <w:basedOn w:val="a4"/>
    <w:uiPriority w:val="99"/>
    <w:semiHidden/>
    <w:rPr>
      <w:sz w:val="16"/>
      <w:szCs w:val="16"/>
    </w:rPr>
  </w:style>
  <w:style w:type="paragraph" w:customStyle="1" w:styleId="afb">
    <w:name w:val="Кнопка"/>
    <w:basedOn w:val="a3"/>
    <w:next w:val="a3"/>
    <w:link w:val="afc"/>
    <w:qFormat/>
    <w:rPr>
      <w:b/>
      <w:u w:val="single"/>
    </w:rPr>
  </w:style>
  <w:style w:type="character" w:customStyle="1" w:styleId="afc">
    <w:name w:val="Кнопка Знак"/>
    <w:basedOn w:val="af8"/>
    <w:link w:val="afb"/>
    <w:rPr>
      <w:rFonts w:ascii="Arial" w:eastAsia="Times New Roman" w:hAnsi="Arial"/>
      <w:b/>
      <w:u w:val="single"/>
      <w:lang w:eastAsia="ru-RU"/>
    </w:rPr>
  </w:style>
  <w:style w:type="paragraph" w:styleId="a0">
    <w:name w:val="List Bullet"/>
    <w:basedOn w:val="af4"/>
    <w:qFormat/>
    <w:pPr>
      <w:numPr>
        <w:numId w:val="13"/>
      </w:numPr>
    </w:pPr>
  </w:style>
  <w:style w:type="paragraph" w:styleId="afd">
    <w:name w:val="Title"/>
    <w:basedOn w:val="a3"/>
    <w:next w:val="a2"/>
    <w:link w:val="afe"/>
    <w:qFormat/>
    <w:pPr>
      <w:pBdr>
        <w:bottom w:val="single" w:sz="18" w:space="1" w:color="1F497D"/>
      </w:pBdr>
      <w:spacing w:after="360"/>
    </w:pPr>
    <w:rPr>
      <w:color w:val="1F497D"/>
      <w:sz w:val="40"/>
    </w:rPr>
  </w:style>
  <w:style w:type="character" w:customStyle="1" w:styleId="afe">
    <w:name w:val="Заголовок Знак"/>
    <w:basedOn w:val="a4"/>
    <w:link w:val="afd"/>
    <w:rPr>
      <w:rFonts w:ascii="Arial" w:eastAsia="Times New Roman" w:hAnsi="Arial"/>
      <w:color w:val="1F497D"/>
      <w:sz w:val="40"/>
      <w:lang w:eastAsia="ru-RU"/>
    </w:rPr>
  </w:style>
  <w:style w:type="paragraph" w:styleId="aff">
    <w:name w:val="caption"/>
    <w:basedOn w:val="a2"/>
    <w:next w:val="a2"/>
    <w:uiPriority w:val="99"/>
    <w:semiHidden/>
    <w:qFormat/>
    <w:pPr>
      <w:spacing w:before="120" w:after="120"/>
      <w:jc w:val="right"/>
    </w:pPr>
    <w:rPr>
      <w:bCs/>
      <w:szCs w:val="18"/>
    </w:rPr>
  </w:style>
  <w:style w:type="paragraph" w:customStyle="1" w:styleId="aff0">
    <w:name w:val="Название поля/пункт меню"/>
    <w:basedOn w:val="a3"/>
    <w:link w:val="aff1"/>
    <w:qFormat/>
    <w:rPr>
      <w:i/>
    </w:rPr>
  </w:style>
  <w:style w:type="character" w:customStyle="1" w:styleId="aff1">
    <w:name w:val="Название поля/пункт меню Знак"/>
    <w:basedOn w:val="af8"/>
    <w:link w:val="aff0"/>
    <w:rPr>
      <w:rFonts w:ascii="Arial" w:eastAsia="Times New Roman" w:hAnsi="Arial"/>
      <w:i/>
      <w:lang w:eastAsia="ru-RU"/>
    </w:rPr>
  </w:style>
  <w:style w:type="paragraph" w:customStyle="1" w:styleId="aff2">
    <w:name w:val="Название справочника"/>
    <w:basedOn w:val="a3"/>
    <w:next w:val="a3"/>
    <w:link w:val="aff3"/>
    <w:qFormat/>
    <w:rPr>
      <w:b/>
    </w:rPr>
  </w:style>
  <w:style w:type="character" w:customStyle="1" w:styleId="aff3">
    <w:name w:val="Название справочника Знак"/>
    <w:basedOn w:val="af8"/>
    <w:link w:val="aff2"/>
    <w:rPr>
      <w:rFonts w:ascii="Arial" w:eastAsia="Times New Roman" w:hAnsi="Arial"/>
      <w:b/>
      <w:lang w:eastAsia="ru-RU"/>
    </w:rPr>
  </w:style>
  <w:style w:type="paragraph" w:styleId="aff4">
    <w:name w:val="footer"/>
    <w:basedOn w:val="a2"/>
    <w:link w:val="aff5"/>
    <w:pPr>
      <w:tabs>
        <w:tab w:val="center" w:pos="4677"/>
        <w:tab w:val="right" w:pos="9355"/>
      </w:tabs>
    </w:pPr>
    <w:rPr>
      <w:color w:val="404040"/>
      <w:sz w:val="18"/>
    </w:rPr>
  </w:style>
  <w:style w:type="character" w:customStyle="1" w:styleId="aff5">
    <w:name w:val="Нижний колонтитул Знак"/>
    <w:link w:val="aff4"/>
    <w:rPr>
      <w:rFonts w:ascii="Arial" w:eastAsia="Calibri" w:hAnsi="Arial"/>
      <w:color w:val="404040"/>
      <w:sz w:val="18"/>
    </w:rPr>
  </w:style>
  <w:style w:type="paragraph" w:styleId="a">
    <w:name w:val="List Number"/>
    <w:basedOn w:val="af4"/>
    <w:pPr>
      <w:numPr>
        <w:numId w:val="14"/>
      </w:numPr>
      <w:spacing w:before="160"/>
    </w:pPr>
  </w:style>
  <w:style w:type="paragraph" w:styleId="13">
    <w:name w:val="toc 1"/>
    <w:basedOn w:val="a2"/>
    <w:next w:val="a2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24">
    <w:name w:val="toc 2"/>
    <w:basedOn w:val="a2"/>
    <w:next w:val="a2"/>
    <w:uiPriority w:val="99"/>
    <w:semiHidden/>
    <w:pPr>
      <w:ind w:left="200"/>
    </w:pPr>
    <w:rPr>
      <w:rFonts w:asciiTheme="minorHAnsi" w:hAnsiTheme="minorHAnsi"/>
      <w:smallCaps/>
    </w:rPr>
  </w:style>
  <w:style w:type="paragraph" w:styleId="32">
    <w:name w:val="toc 3"/>
    <w:basedOn w:val="a2"/>
    <w:next w:val="a2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42">
    <w:name w:val="toc 4"/>
    <w:basedOn w:val="a2"/>
    <w:next w:val="a2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52">
    <w:name w:val="toc 5"/>
    <w:basedOn w:val="a2"/>
    <w:next w:val="a2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91">
    <w:name w:val="toc 9"/>
    <w:basedOn w:val="a2"/>
    <w:next w:val="a2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customStyle="1" w:styleId="aff6">
    <w:name w:val="Описание этапа ТМ"/>
    <w:basedOn w:val="a3"/>
    <w:qFormat/>
  </w:style>
  <w:style w:type="character" w:customStyle="1" w:styleId="aff7">
    <w:name w:val="Определение"/>
    <w:basedOn w:val="af8"/>
    <w:qFormat/>
    <w:rPr>
      <w:rFonts w:ascii="Arial" w:eastAsia="Times New Roman" w:hAnsi="Arial"/>
      <w:i/>
      <w:color w:val="1F497D"/>
      <w:u w:val="none"/>
      <w:lang w:val="ru-RU" w:eastAsia="ru-RU"/>
    </w:rPr>
  </w:style>
  <w:style w:type="character" w:customStyle="1" w:styleId="aff8">
    <w:name w:val="Пояснение к заполнению"/>
    <w:basedOn w:val="a4"/>
    <w:qFormat/>
    <w:rPr>
      <w:rFonts w:ascii="Arial" w:hAnsi="Arial"/>
      <w:i/>
      <w:color w:val="C0504D" w:themeColor="accent2"/>
      <w:sz w:val="20"/>
    </w:rPr>
  </w:style>
  <w:style w:type="paragraph" w:customStyle="1" w:styleId="aff9">
    <w:name w:val="Пример кода"/>
    <w:basedOn w:val="a3"/>
    <w:qFormat/>
    <w:pPr>
      <w:shd w:val="clear" w:color="auto" w:fill="F2F2F2"/>
    </w:pPr>
    <w:rPr>
      <w:rFonts w:ascii="Consolas" w:hAnsi="Consolas"/>
    </w:rPr>
  </w:style>
  <w:style w:type="paragraph" w:customStyle="1" w:styleId="affa">
    <w:name w:val="Примечание"/>
    <w:basedOn w:val="a3"/>
    <w:qFormat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table" w:styleId="affb">
    <w:name w:val="Table Grid"/>
    <w:basedOn w:val="a5"/>
    <w:uiPriority w:val="59"/>
    <w:pPr>
      <w:jc w:val="both"/>
    </w:pPr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Список Маркеры (и номера)11"/>
    <w:pPr>
      <w:numPr>
        <w:numId w:val="3"/>
      </w:numPr>
    </w:pPr>
  </w:style>
  <w:style w:type="numbering" w:customStyle="1" w:styleId="a1">
    <w:name w:val="Список эталон"/>
    <w:uiPriority w:val="99"/>
    <w:pPr>
      <w:numPr>
        <w:numId w:val="4"/>
      </w:numPr>
    </w:pPr>
  </w:style>
  <w:style w:type="paragraph" w:styleId="affc">
    <w:name w:val="Document Map"/>
    <w:basedOn w:val="a2"/>
    <w:link w:val="affd"/>
    <w:uiPriority w:val="99"/>
    <w:semiHidden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4"/>
    <w:link w:val="affc"/>
    <w:uiPriority w:val="99"/>
    <w:semiHidden/>
    <w:rPr>
      <w:rFonts w:ascii="Tahoma" w:hAnsi="Tahoma" w:cs="Tahoma"/>
      <w:sz w:val="16"/>
      <w:szCs w:val="16"/>
    </w:rPr>
  </w:style>
  <w:style w:type="paragraph" w:customStyle="1" w:styleId="affe">
    <w:name w:val="Таблица Заголовок"/>
    <w:basedOn w:val="a3"/>
    <w:uiPriority w:val="99"/>
    <w:semiHidden/>
    <w:pPr>
      <w:jc w:val="center"/>
    </w:pPr>
    <w:rPr>
      <w:b/>
      <w:bCs/>
      <w:sz w:val="22"/>
      <w:szCs w:val="22"/>
    </w:rPr>
  </w:style>
  <w:style w:type="paragraph" w:customStyle="1" w:styleId="afff">
    <w:name w:val="Таблица Основной Текст"/>
    <w:basedOn w:val="a3"/>
    <w:link w:val="afff0"/>
    <w:uiPriority w:val="99"/>
    <w:semiHidden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0">
    <w:name w:val="Таблица Основной Текст Знак"/>
    <w:link w:val="afff"/>
    <w:uiPriority w:val="99"/>
    <w:semiHidden/>
    <w:rPr>
      <w:rFonts w:asciiTheme="minorHAnsi" w:hAnsiTheme="minorHAnsi" w:cstheme="minorBidi"/>
      <w:sz w:val="22"/>
      <w:szCs w:val="22"/>
    </w:rPr>
  </w:style>
  <w:style w:type="paragraph" w:customStyle="1" w:styleId="afff1">
    <w:name w:val="Таблица Основной текс По центру"/>
    <w:basedOn w:val="afff"/>
    <w:uiPriority w:val="99"/>
    <w:semiHidden/>
    <w:pPr>
      <w:jc w:val="center"/>
    </w:pPr>
  </w:style>
  <w:style w:type="paragraph" w:styleId="afff2">
    <w:name w:val="Balloon Text"/>
    <w:basedOn w:val="a2"/>
    <w:link w:val="afff3"/>
    <w:uiPriority w:val="99"/>
    <w:semiHidden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4"/>
    <w:link w:val="afff2"/>
    <w:uiPriority w:val="99"/>
    <w:semiHidden/>
    <w:rPr>
      <w:rFonts w:ascii="Tahoma" w:hAnsi="Tahoma" w:cs="Tahoma"/>
      <w:sz w:val="16"/>
      <w:szCs w:val="16"/>
    </w:rPr>
  </w:style>
  <w:style w:type="paragraph" w:styleId="afff4">
    <w:name w:val="annotation text"/>
    <w:basedOn w:val="a2"/>
    <w:link w:val="afff5"/>
    <w:uiPriority w:val="99"/>
    <w:semiHidden/>
    <w:rPr>
      <w:rFonts w:eastAsia="Times New Roman"/>
      <w:lang w:eastAsia="ru-RU"/>
    </w:rPr>
  </w:style>
  <w:style w:type="character" w:customStyle="1" w:styleId="afff5">
    <w:name w:val="Текст примечания Знак"/>
    <w:basedOn w:val="a4"/>
    <w:link w:val="afff4"/>
    <w:uiPriority w:val="99"/>
    <w:semiHidden/>
    <w:rPr>
      <w:rFonts w:ascii="Arial" w:eastAsia="Times New Roman" w:hAnsi="Arial"/>
      <w:lang w:eastAsia="ru-RU"/>
    </w:rPr>
  </w:style>
  <w:style w:type="paragraph" w:customStyle="1" w:styleId="afff6">
    <w:name w:val="Текст таблицы"/>
    <w:basedOn w:val="a3"/>
    <w:uiPriority w:val="99"/>
    <w:qFormat/>
  </w:style>
  <w:style w:type="paragraph" w:styleId="afff7">
    <w:name w:val="annotation subject"/>
    <w:basedOn w:val="afff4"/>
    <w:next w:val="afff4"/>
    <w:link w:val="afff8"/>
    <w:uiPriority w:val="99"/>
    <w:semiHidden/>
    <w:rPr>
      <w:b/>
      <w:bCs/>
    </w:rPr>
  </w:style>
  <w:style w:type="character" w:customStyle="1" w:styleId="afff8">
    <w:name w:val="Тема примечания Знак"/>
    <w:basedOn w:val="afff5"/>
    <w:link w:val="afff7"/>
    <w:uiPriority w:val="99"/>
    <w:semiHidden/>
    <w:rPr>
      <w:rFonts w:ascii="Arial" w:eastAsia="Times New Roman" w:hAnsi="Arial"/>
      <w:b/>
      <w:bCs/>
      <w:lang w:eastAsia="ru-RU"/>
    </w:rPr>
  </w:style>
  <w:style w:type="paragraph" w:customStyle="1" w:styleId="afff9">
    <w:name w:val="Титульный Логотип системы"/>
    <w:basedOn w:val="a3"/>
    <w:pPr>
      <w:pBdr>
        <w:bottom w:val="single" w:sz="24" w:space="10" w:color="000000"/>
      </w:pBdr>
      <w:spacing w:before="60"/>
      <w:jc w:val="right"/>
    </w:pPr>
    <w:rPr>
      <w:i/>
      <w:sz w:val="40"/>
    </w:rPr>
  </w:style>
  <w:style w:type="paragraph" w:customStyle="1" w:styleId="afffa">
    <w:name w:val="Титульный Название книги"/>
    <w:basedOn w:val="a3"/>
    <w:pPr>
      <w:spacing w:after="80"/>
    </w:pPr>
    <w:rPr>
      <w:i/>
      <w:sz w:val="36"/>
    </w:rPr>
  </w:style>
  <w:style w:type="paragraph" w:customStyle="1" w:styleId="afffb">
    <w:name w:val="Титульный Название системы"/>
    <w:basedOn w:val="a3"/>
    <w:pPr>
      <w:ind w:left="567"/>
      <w:jc w:val="right"/>
    </w:pPr>
    <w:rPr>
      <w:sz w:val="52"/>
    </w:rPr>
  </w:style>
  <w:style w:type="character" w:customStyle="1" w:styleId="afffc">
    <w:name w:val="Участник процесса"/>
    <w:basedOn w:val="af8"/>
    <w:qFormat/>
    <w:rPr>
      <w:rFonts w:ascii="Arial" w:eastAsia="Times New Roman" w:hAnsi="Arial"/>
      <w:b/>
      <w:i/>
      <w:sz w:val="20"/>
      <w:lang w:val="ru-RU" w:eastAsia="ru-RU"/>
    </w:rPr>
  </w:style>
  <w:style w:type="character" w:customStyle="1" w:styleId="60">
    <w:name w:val="Заголовок 6 Знак"/>
    <w:basedOn w:val="a4"/>
    <w:link w:val="6"/>
    <w:uiPriority w:val="99"/>
    <w:semiHidden/>
    <w:rPr>
      <w:rFonts w:ascii="Arial" w:eastAsia="Times New Roman" w:hAnsi="Arial"/>
      <w:lang w:eastAsia="ru-RU"/>
    </w:rPr>
  </w:style>
  <w:style w:type="character" w:customStyle="1" w:styleId="70">
    <w:name w:val="Заголовок 7 Знак"/>
    <w:basedOn w:val="a4"/>
    <w:link w:val="7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9"/>
    <w:semiHidden/>
    <w:rPr>
      <w:rFonts w:ascii="Arial" w:eastAsiaTheme="majorEastAsia" w:hAnsi="Arial" w:cstheme="majorBidi"/>
      <w:color w:val="404040" w:themeColor="text1" w:themeTint="BF"/>
    </w:rPr>
  </w:style>
  <w:style w:type="character" w:customStyle="1" w:styleId="90">
    <w:name w:val="Заголовок 9 Знак"/>
    <w:basedOn w:val="a4"/>
    <w:link w:val="9"/>
    <w:uiPriority w:val="99"/>
    <w:semiHidden/>
    <w:rPr>
      <w:rFonts w:ascii="Arial" w:eastAsiaTheme="majorEastAsia" w:hAnsi="Arial" w:cstheme="majorBidi"/>
      <w:iCs/>
      <w:color w:val="404040" w:themeColor="text1" w:themeTint="BF"/>
    </w:rPr>
  </w:style>
  <w:style w:type="paragraph" w:customStyle="1" w:styleId="afffd">
    <w:name w:val="Название рисунка"/>
    <w:basedOn w:val="a3"/>
    <w:next w:val="a3"/>
    <w:qFormat/>
    <w:pPr>
      <w:jc w:val="center"/>
    </w:pPr>
    <w:rPr>
      <w:bCs/>
      <w:i/>
      <w:iCs/>
    </w:rPr>
  </w:style>
  <w:style w:type="paragraph" w:customStyle="1" w:styleId="afffe">
    <w:name w:val="Титульный Продукт и год"/>
    <w:basedOn w:val="a3"/>
    <w:next w:val="a3"/>
    <w:qFormat/>
    <w:pPr>
      <w:jc w:val="center"/>
    </w:pPr>
    <w:rPr>
      <w:b/>
      <w:sz w:val="32"/>
      <w:szCs w:val="32"/>
    </w:rPr>
  </w:style>
  <w:style w:type="paragraph" w:customStyle="1" w:styleId="affff">
    <w:name w:val="Рисунок"/>
    <w:basedOn w:val="a2"/>
    <w:next w:val="afffd"/>
    <w:qFormat/>
    <w:pPr>
      <w:keepNext/>
      <w:keepLines/>
      <w:widowControl w:val="0"/>
      <w:jc w:val="center"/>
    </w:pPr>
    <w:rPr>
      <w:szCs w:val="22"/>
    </w:rPr>
  </w:style>
  <w:style w:type="table" w:customStyle="1" w:styleId="affff0">
    <w:name w:val="Таблица РосА"/>
    <w:basedOn w:val="a5"/>
    <w:uiPriority w:val="99"/>
    <w:qFormat/>
    <w:rPr>
      <w:rFonts w:ascii="Arial" w:eastAsia="Calibri" w:hAnsi="Arial"/>
      <w:lang w:eastAsia="ru-RU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spacing w:before="0" w:beforeAutospacing="0" w:after="0" w:afterAutospacing="0" w:line="240" w:lineRule="auto"/>
        <w:ind w:left="0" w:firstLine="0"/>
        <w:contextualSpacing w:val="0"/>
        <w:jc w:val="center"/>
      </w:pPr>
      <w:rPr>
        <w:rFonts w:ascii="Arial" w:hAnsi="Arial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blPr/>
      <w:tcPr>
        <w:shd w:val="clear" w:color="auto" w:fill="F2F2F2"/>
      </w:tcPr>
    </w:tblStylePr>
  </w:style>
  <w:style w:type="paragraph" w:customStyle="1" w:styleId="StGen0">
    <w:name w:val="StGen0"/>
    <w:basedOn w:val="a2"/>
    <w:next w:val="afd"/>
    <w:link w:val="affff1"/>
    <w:qFormat/>
    <w:pPr>
      <w:jc w:val="center"/>
    </w:pPr>
    <w:rPr>
      <w:rFonts w:eastAsia="Times New Roman"/>
      <w:b/>
      <w:szCs w:val="20"/>
    </w:rPr>
  </w:style>
  <w:style w:type="character" w:customStyle="1" w:styleId="affff1">
    <w:name w:val="Название Знак"/>
    <w:basedOn w:val="a4"/>
    <w:link w:val="StGen0"/>
    <w:rPr>
      <w:rFonts w:eastAsia="Times New Roman"/>
      <w:b/>
      <w:sz w:val="28"/>
    </w:rPr>
  </w:style>
  <w:style w:type="character" w:styleId="affff2">
    <w:name w:val="line number"/>
    <w:basedOn w:val="a4"/>
    <w:semiHidden/>
    <w:unhideWhenUsed/>
  </w:style>
  <w:style w:type="paragraph" w:customStyle="1" w:styleId="StGen1">
    <w:name w:val="StGen1"/>
    <w:basedOn w:val="a2"/>
    <w:next w:val="afd"/>
    <w:qFormat/>
    <w:pPr>
      <w:jc w:val="center"/>
    </w:pPr>
    <w:rPr>
      <w:rFonts w:eastAsia="Times New Roman"/>
      <w:b/>
      <w:szCs w:val="20"/>
      <w:lang w:eastAsia="ru-RU"/>
    </w:rPr>
  </w:style>
  <w:style w:type="character" w:styleId="affff3">
    <w:name w:val="Placeholder Text"/>
    <w:basedOn w:val="a4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2E434-54C2-4248-8459-3B735C968F07}"/>
      </w:docPartPr>
      <w:docPartBody>
        <w:p w:rsidR="005731BB" w:rsidRDefault="005731BB"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7ac93092d845464581a5a2b0f7dc4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EAB661-9D7E-4BAB-9C21-DE67AFA62501}"/>
      </w:docPartPr>
      <w:docPartBody>
        <w:p w:rsidR="005731BB" w:rsidRDefault="005731BB"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4013558CEA8243EC9528EE570B66B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C3121-9F4F-4E39-9870-5265E7438FC8}"/>
      </w:docPartPr>
      <w:docPartBody>
        <w:p w:rsidR="005731BB" w:rsidRDefault="005731BB">
          <w:pPr>
            <w:pStyle w:val="4013558CEA8243EC9528EE570B66BB52"/>
          </w:pPr>
          <w:r>
            <w:rPr>
              <w:rStyle w:val="afa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31BB" w:rsidRDefault="005731BB">
      <w:pPr>
        <w:spacing w:after="0" w:line="240" w:lineRule="auto"/>
      </w:pPr>
      <w:r>
        <w:separator/>
      </w:r>
    </w:p>
  </w:endnote>
  <w:endnote w:type="continuationSeparator" w:id="0">
    <w:p w:rsidR="005731BB" w:rsidRDefault="005731BB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31BB" w:rsidRDefault="005731BB">
      <w:pPr>
        <w:spacing w:after="0" w:line="240" w:lineRule="auto"/>
      </w:pPr>
      <w:r>
        <w:separator/>
      </w:r>
    </w:p>
  </w:footnote>
  <w:footnote w:type="continuationSeparator" w:id="0">
    <w:p w:rsidR="005731BB" w:rsidRDefault="005731BB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1BB"/>
    <w:rsid w:val="0015519D"/>
    <w:rsid w:val="0057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4013558CEA8243EC9528EE570B66BB52">
    <w:name w:val="4013558CEA8243EC9528EE570B66B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1558</Words>
  <Characters>8885</Characters>
  <Application>Microsoft Office Word</Application>
  <DocSecurity>0</DocSecurity>
  <Lines>74</Lines>
  <Paragraphs>20</Paragraphs>
  <ScaleCrop>false</ScaleCrop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Любимова Айгуль Флюровна</cp:lastModifiedBy>
  <cp:revision>16</cp:revision>
  <dcterms:created xsi:type="dcterms:W3CDTF">2024-08-21T06:42:00Z</dcterms:created>
  <dcterms:modified xsi:type="dcterms:W3CDTF">2025-02-14T05:30:00Z</dcterms:modified>
</cp:coreProperties>
</file>