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hanging="778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21) в приложении 16</w:t>
      </w:r>
      <w:r>
        <w:rPr>
          <w:rFonts w:ascii="PT Astra Serif" w:hAnsi="PT Astra Serif" w:cs="PT Astra Serif"/>
        </w:rPr>
        <w:t>:</w:t>
      </w:r>
    </w:p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hanging="778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 xml:space="preserve">а) </w:t>
      </w:r>
      <w:r>
        <w:rPr>
          <w:rFonts w:ascii="PT Astra Serif" w:hAnsi="PT Astra Serif" w:cs="PT Astra Serif"/>
        </w:rPr>
        <w:t>таблицу 6 признать утратившей силу;</w:t>
      </w:r>
    </w:p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hanging="778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таблицу 8 изложить в следующей редакции: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2798"/>
        <w:gridCol w:w="1648"/>
        <w:gridCol w:w="1647"/>
        <w:gridCol w:w="1626"/>
        <w:gridCol w:w="90"/>
      </w:tblGrid>
      <w:tr w:rsidR="00E44B34" w:rsidTr="00D254A4">
        <w:trPr>
          <w:gridAfter w:val="1"/>
          <w:wAfter w:w="90" w:type="dxa"/>
          <w:trHeight w:val="315"/>
        </w:trPr>
        <w:tc>
          <w:tcPr>
            <w:tcW w:w="7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8</w:t>
            </w:r>
          </w:p>
        </w:tc>
      </w:tr>
      <w:tr w:rsidR="00E44B34" w:rsidTr="00D254A4">
        <w:trPr>
          <w:trHeight w:val="738"/>
        </w:trPr>
        <w:tc>
          <w:tcPr>
            <w:tcW w:w="8518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 иных межбюджетных трансфертов из бюджета Удмуртской Республики бюджетам муниципальных образований в Удмуртской Республике на финансовое обеспечение расходных обязательств муниципальных образований на содержание автомобильных дорог местного значения и искусственных сооружений на них в части проведения работ по зимнему содержанию, диагностике, обследованию и оценке технического состояния на 2025 год и на плановый период 2026 и 2027 годов</w:t>
            </w:r>
          </w:p>
        </w:tc>
      </w:tr>
      <w:tr w:rsidR="00E44B34" w:rsidTr="00D254A4">
        <w:trPr>
          <w:trHeight w:val="720"/>
        </w:trPr>
        <w:tc>
          <w:tcPr>
            <w:tcW w:w="8518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транспорта и дорожного хозяйства Удмуртской Республики, целевая статья 2110301382)</w:t>
            </w:r>
          </w:p>
        </w:tc>
      </w:tr>
      <w:tr w:rsidR="00E44B34" w:rsidTr="00D254A4">
        <w:trPr>
          <w:gridAfter w:val="1"/>
          <w:wAfter w:w="90" w:type="dxa"/>
          <w:trHeight w:val="285"/>
        </w:trPr>
        <w:tc>
          <w:tcPr>
            <w:tcW w:w="7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27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64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6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62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E44B34" w:rsidTr="00D254A4">
        <w:trPr>
          <w:gridAfter w:val="1"/>
          <w:wAfter w:w="90" w:type="dxa"/>
          <w:trHeight w:val="31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1 476 752,87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320 400,00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320 400,00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320 400,00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720 000,00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720 000,00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720 000,00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2 219 980,00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2 219 980,00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2 219 980,00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</w:tr>
      <w:tr w:rsidR="00E44B34" w:rsidTr="00D254A4">
        <w:trPr>
          <w:gridAfter w:val="1"/>
          <w:wAfter w:w="90" w:type="dxa"/>
          <w:trHeight w:val="979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</w:t>
            </w: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581 400,00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581 400,00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581 400,00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7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277 200,00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277 200,00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277 200,00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143 820,00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143 820,00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143 820,00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426 600,00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426 600,00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426 600,00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858 600,00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858 600,00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858 600,00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597 600,00</w:t>
            </w:r>
          </w:p>
        </w:tc>
      </w:tr>
      <w:tr w:rsidR="00E44B34" w:rsidTr="00D254A4">
        <w:trPr>
          <w:gridAfter w:val="1"/>
          <w:wAfter w:w="90" w:type="dxa"/>
          <w:trHeight w:val="979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729 000,00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729 000,00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729 000,00</w:t>
            </w:r>
          </w:p>
        </w:tc>
      </w:tr>
      <w:tr w:rsidR="00E44B34" w:rsidTr="00D254A4">
        <w:trPr>
          <w:gridAfter w:val="1"/>
          <w:wAfter w:w="90" w:type="dxa"/>
          <w:trHeight w:val="300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5 331 600,00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5 331 600,00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5 331 600,00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1 027 800,00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1 027 800,00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1 027 800,00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1 233 000,00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1 233 000,00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1 233 000,00</w:t>
            </w:r>
          </w:p>
        </w:tc>
      </w:tr>
      <w:tr w:rsidR="00E44B34" w:rsidTr="00D254A4">
        <w:trPr>
          <w:gridAfter w:val="1"/>
          <w:wAfter w:w="90" w:type="dxa"/>
          <w:trHeight w:val="645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1 725 063,75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988 200,00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988 200,00</w:t>
            </w:r>
          </w:p>
        </w:tc>
      </w:tr>
      <w:tr w:rsidR="00E44B34" w:rsidTr="00D254A4">
        <w:trPr>
          <w:gridAfter w:val="1"/>
          <w:wAfter w:w="90" w:type="dxa"/>
          <w:trHeight w:val="289"/>
        </w:trPr>
        <w:tc>
          <w:tcPr>
            <w:tcW w:w="71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7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164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18 266 416,62</w:t>
            </w:r>
          </w:p>
        </w:tc>
        <w:tc>
          <w:tcPr>
            <w:tcW w:w="16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16 052 800,00</w:t>
            </w:r>
          </w:p>
        </w:tc>
        <w:tc>
          <w:tcPr>
            <w:tcW w:w="16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16 052 800,00</w:t>
            </w:r>
          </w:p>
        </w:tc>
      </w:tr>
    </w:tbl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lastRenderedPageBreak/>
        <w:t>»;</w:t>
      </w:r>
    </w:p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hanging="7645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в) дополнить таблицами 15 - 16 следующего содержания: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73"/>
        <w:gridCol w:w="5640"/>
        <w:gridCol w:w="605"/>
        <w:gridCol w:w="605"/>
        <w:gridCol w:w="1303"/>
      </w:tblGrid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15</w:t>
            </w:r>
          </w:p>
        </w:tc>
      </w:tr>
      <w:tr w:rsidR="00E44B34" w:rsidTr="00D254A4">
        <w:trPr>
          <w:trHeight w:val="2775"/>
        </w:trPr>
        <w:tc>
          <w:tcPr>
            <w:tcW w:w="892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иного межбюджетного трансферта из бюджета Удмуртской Республики бюджетам муниципальных образований в Удмуртской Республике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на 2025 год</w:t>
            </w:r>
          </w:p>
        </w:tc>
      </w:tr>
      <w:tr w:rsidR="00E44B34" w:rsidTr="00D254A4">
        <w:trPr>
          <w:trHeight w:val="300"/>
        </w:trPr>
        <w:tc>
          <w:tcPr>
            <w:tcW w:w="892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(Министерство образования и науки Удмуртской Республики, целевая статья 9900306900)</w:t>
            </w:r>
          </w:p>
        </w:tc>
      </w:tr>
      <w:tr w:rsidR="00E44B34" w:rsidTr="00D254A4">
        <w:trPr>
          <w:trHeight w:val="300"/>
        </w:trPr>
        <w:tc>
          <w:tcPr>
            <w:tcW w:w="7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3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E44B34" w:rsidTr="00D254A4">
        <w:trPr>
          <w:trHeight w:val="645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 п/п</w:t>
            </w:r>
          </w:p>
        </w:tc>
        <w:tc>
          <w:tcPr>
            <w:tcW w:w="564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рублей</w:t>
            </w:r>
          </w:p>
        </w:tc>
      </w:tr>
      <w:tr w:rsidR="00E44B34" w:rsidTr="00D254A4">
        <w:trPr>
          <w:trHeight w:val="240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539 813,00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1 247 511,00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824 984,00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595 822,00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296 690,00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183 330,00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436 719,00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2 318 381,00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935 452,00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444 377,00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184 220,00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947 204,00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13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2 420 765,00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244 440,00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193 713,00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1 604 136,00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674 121,00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588 629,00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328 150,00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268 486,00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1 524 559,00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605 811,00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193 713,00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474 532,00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219 541,00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2 256 367,00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5 125 996,00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2 567 663,00</w:t>
            </w:r>
          </w:p>
        </w:tc>
      </w:tr>
      <w:tr w:rsidR="00E44B34" w:rsidTr="00D254A4">
        <w:trPr>
          <w:trHeight w:val="315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1 480 741,00</w:t>
            </w:r>
          </w:p>
        </w:tc>
      </w:tr>
      <w:tr w:rsidR="00E44B34" w:rsidTr="00D254A4">
        <w:trPr>
          <w:trHeight w:val="300"/>
        </w:trPr>
        <w:tc>
          <w:tcPr>
            <w:tcW w:w="77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56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513" w:type="dxa"/>
            <w:gridSpan w:val="3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29 725 866,00</w:t>
            </w:r>
          </w:p>
        </w:tc>
      </w:tr>
    </w:tbl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hanging="7503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947"/>
        <w:gridCol w:w="611"/>
        <w:gridCol w:w="2022"/>
        <w:gridCol w:w="671"/>
        <w:gridCol w:w="57"/>
        <w:gridCol w:w="358"/>
      </w:tblGrid>
      <w:tr w:rsidR="00E44B34" w:rsidTr="00D254A4">
        <w:trPr>
          <w:gridAfter w:val="2"/>
          <w:wAfter w:w="415" w:type="dxa"/>
          <w:trHeight w:val="315"/>
        </w:trPr>
        <w:tc>
          <w:tcPr>
            <w:tcW w:w="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6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488" w:right="-259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Таблица 16</w:t>
            </w:r>
          </w:p>
        </w:tc>
      </w:tr>
      <w:tr w:rsidR="00E44B34" w:rsidTr="00D254A4">
        <w:trPr>
          <w:gridAfter w:val="2"/>
          <w:wAfter w:w="415" w:type="dxa"/>
          <w:trHeight w:val="1125"/>
        </w:trPr>
        <w:tc>
          <w:tcPr>
            <w:tcW w:w="892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иных межбюджетных трансфертов из бюджета Удмуртской Республики бюджетам муниципальных образований в Удмуртской Республике на расходы по капитальному ремонту фасадов многоквартирных домов, расположенных на территории Удмуртской Республики на 2025 год</w:t>
            </w:r>
          </w:p>
        </w:tc>
      </w:tr>
      <w:tr w:rsidR="00E44B34" w:rsidTr="00D254A4">
        <w:trPr>
          <w:gridAfter w:val="2"/>
          <w:wAfter w:w="415" w:type="dxa"/>
          <w:trHeight w:val="720"/>
        </w:trPr>
        <w:tc>
          <w:tcPr>
            <w:tcW w:w="892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lastRenderedPageBreak/>
              <w:t>(Министерство строительства, жилищно-коммунального хозяйства и энергетики Удмуртской Республики, целевая статья 9900905910)</w:t>
            </w:r>
          </w:p>
        </w:tc>
      </w:tr>
      <w:tr w:rsidR="00E44B34" w:rsidTr="00D254A4">
        <w:trPr>
          <w:gridAfter w:val="2"/>
          <w:wAfter w:w="415" w:type="dxa"/>
          <w:trHeight w:val="345"/>
        </w:trPr>
        <w:tc>
          <w:tcPr>
            <w:tcW w:w="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0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E44B34" w:rsidTr="00D254A4">
        <w:trPr>
          <w:gridAfter w:val="2"/>
          <w:wAfter w:w="415" w:type="dxa"/>
          <w:trHeight w:val="645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49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3304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рублей</w:t>
            </w:r>
          </w:p>
        </w:tc>
      </w:tr>
      <w:tr w:rsidR="00E44B34" w:rsidTr="00D254A4">
        <w:trPr>
          <w:gridAfter w:val="2"/>
          <w:wAfter w:w="415" w:type="dxa"/>
          <w:trHeight w:val="315"/>
        </w:trPr>
        <w:tc>
          <w:tcPr>
            <w:tcW w:w="6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3304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E44B34" w:rsidTr="00D254A4">
        <w:trPr>
          <w:gridAfter w:val="2"/>
          <w:wAfter w:w="415" w:type="dxa"/>
          <w:trHeight w:val="645"/>
        </w:trPr>
        <w:tc>
          <w:tcPr>
            <w:tcW w:w="6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3304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27 000 000,00</w:t>
            </w:r>
          </w:p>
        </w:tc>
      </w:tr>
      <w:tr w:rsidR="00E44B34" w:rsidTr="00D254A4">
        <w:trPr>
          <w:gridAfter w:val="2"/>
          <w:wAfter w:w="415" w:type="dxa"/>
          <w:trHeight w:val="289"/>
        </w:trPr>
        <w:tc>
          <w:tcPr>
            <w:tcW w:w="6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3304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4B34" w:rsidRDefault="00E44B34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27 000 000,00</w:t>
            </w:r>
          </w:p>
        </w:tc>
      </w:tr>
      <w:tr w:rsidR="00E44B34" w:rsidTr="00D254A4">
        <w:tc>
          <w:tcPr>
            <w:tcW w:w="6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49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6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3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44B34" w:rsidRDefault="00E44B34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</w:tbl>
    <w:p w:rsidR="00E44B34" w:rsidRDefault="00E44B34" w:rsidP="00E44B3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».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34"/>
    <w:rsid w:val="00BF1B74"/>
    <w:rsid w:val="00E4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83881-F473-46D8-A2BA-401E37A1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3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B34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2025-02-12T06:51:00Z</dcterms:created>
  <dcterms:modified xsi:type="dcterms:W3CDTF">2025-02-12T06:52:00Z</dcterms:modified>
</cp:coreProperties>
</file>